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2F" w:rsidRPr="0030331D" w:rsidRDefault="007D2C2F" w:rsidP="007D2C2F">
      <w:pPr>
        <w:tabs>
          <w:tab w:val="left" w:pos="6015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 xml:space="preserve">                                                                </w:t>
      </w:r>
      <w:r w:rsidRPr="003033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 xml:space="preserve">        </w:t>
      </w:r>
      <w:r w:rsidRPr="0030331D">
        <w:rPr>
          <w:rFonts w:ascii="Times New Roman" w:eastAsia="Times New Roman" w:hAnsi="Times New Roman" w:cs="Times New Roman"/>
          <w:noProof/>
          <w:color w:val="76923C" w:themeColor="accent3" w:themeShade="BF"/>
          <w:sz w:val="20"/>
          <w:szCs w:val="20"/>
          <w:lang w:eastAsia="ru-RU"/>
        </w:rPr>
        <w:drawing>
          <wp:inline distT="0" distB="0" distL="0" distR="0" wp14:anchorId="4675409A" wp14:editId="1B3C2F10">
            <wp:extent cx="819150" cy="1133475"/>
            <wp:effectExtent l="0" t="0" r="0" b="9525"/>
            <wp:docPr id="1" name="Рисунок 1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2F" w:rsidRPr="0030331D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6"/>
          <w:szCs w:val="20"/>
          <w:lang w:eastAsia="ru-RU"/>
        </w:rPr>
      </w:pPr>
    </w:p>
    <w:p w:rsidR="007D2C2F" w:rsidRPr="0030331D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6"/>
          <w:szCs w:val="20"/>
          <w:lang w:eastAsia="ru-RU"/>
        </w:rPr>
      </w:pPr>
    </w:p>
    <w:p w:rsidR="007D2C2F" w:rsidRPr="0030331D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Контрольно-счетная комиссия</w:t>
      </w:r>
    </w:p>
    <w:p w:rsidR="007D2C2F" w:rsidRPr="0030331D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городского округа город Михайловка</w:t>
      </w:r>
    </w:p>
    <w:p w:rsidR="007D2C2F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Волгоградской области</w:t>
      </w:r>
    </w:p>
    <w:p w:rsidR="007D2C2F" w:rsidRPr="0030331D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D2C2F" w:rsidRPr="0030331D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ЭКСПЕРТНОЕ ЗАКЛЮЧЕНИЕ</w:t>
      </w:r>
    </w:p>
    <w:p w:rsidR="007D2C2F" w:rsidRPr="0030331D" w:rsidRDefault="007D2C2F" w:rsidP="007D2C2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76923C" w:themeColor="accent3" w:themeShade="BF"/>
          <w:sz w:val="16"/>
          <w:szCs w:val="16"/>
          <w:lang w:eastAsia="ru-RU"/>
        </w:rPr>
      </w:pPr>
    </w:p>
    <w:p w:rsidR="007D2C2F" w:rsidRPr="007E5B4B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5B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7E5B4B" w:rsidRPr="007E5B4B">
        <w:rPr>
          <w:rFonts w:ascii="Times New Roman" w:eastAsia="Times New Roman" w:hAnsi="Times New Roman" w:cs="Times New Roman"/>
          <w:sz w:val="24"/>
          <w:szCs w:val="20"/>
          <w:lang w:eastAsia="ru-RU"/>
        </w:rPr>
        <w:t>28</w:t>
      </w:r>
      <w:r w:rsidRPr="007E5B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="003B5FF0" w:rsidRPr="007E5B4B">
        <w:rPr>
          <w:rFonts w:ascii="Times New Roman" w:eastAsia="Times New Roman" w:hAnsi="Times New Roman" w:cs="Times New Roman"/>
          <w:sz w:val="24"/>
          <w:szCs w:val="20"/>
          <w:lang w:eastAsia="ru-RU"/>
        </w:rPr>
        <w:t>13</w:t>
      </w:r>
      <w:r w:rsidRPr="007E5B4B">
        <w:rPr>
          <w:rFonts w:ascii="Times New Roman" w:eastAsia="Times New Roman" w:hAnsi="Times New Roman" w:cs="Times New Roman"/>
          <w:sz w:val="24"/>
          <w:szCs w:val="20"/>
          <w:lang w:eastAsia="ru-RU"/>
        </w:rPr>
        <w:t>/12/201</w:t>
      </w:r>
      <w:r w:rsidR="003B5FF0" w:rsidRPr="007E5B4B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7E5B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7D2C2F" w:rsidRPr="0030331D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76923C" w:themeColor="accent3" w:themeShade="BF"/>
          <w:sz w:val="24"/>
          <w:szCs w:val="20"/>
          <w:lang w:eastAsia="ru-RU"/>
        </w:rPr>
      </w:pPr>
    </w:p>
    <w:p w:rsidR="007D2C2F" w:rsidRPr="0030331D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1D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проекту решения Михайловской городской Думы</w:t>
      </w:r>
    </w:p>
    <w:p w:rsidR="007D2C2F" w:rsidRPr="0030331D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город Михайлов</w:t>
      </w:r>
      <w:r w:rsidR="00A74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  Волгоградской области на 2020</w:t>
      </w:r>
      <w:r w:rsidR="00F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749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749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на второе чтение</w:t>
      </w:r>
    </w:p>
    <w:p w:rsidR="007D2C2F" w:rsidRPr="0030331D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2147DB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Консультант КСК Петрова Ю.П.  провела экспертно-аналитическую оценку проекта Решения «О бюджете городского округа город Михайловка  Волгоградской области на 20</w:t>
      </w:r>
      <w:r w:rsidR="00A749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5837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9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9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</w:p>
    <w:p w:rsidR="007D2C2F" w:rsidRPr="00F81700" w:rsidRDefault="007D2C2F" w:rsidP="007D2C2F">
      <w:pPr>
        <w:pStyle w:val="ConsPlusNormal"/>
        <w:jc w:val="both"/>
        <w:outlineLvl w:val="0"/>
        <w:rPr>
          <w:b w:val="0"/>
        </w:rPr>
      </w:pPr>
      <w:r w:rsidRPr="007030D6">
        <w:rPr>
          <w:rFonts w:eastAsia="Times New Roman"/>
          <w:b w:val="0"/>
          <w:color w:val="1F497D" w:themeColor="text2"/>
          <w:lang w:eastAsia="ru-RU"/>
        </w:rPr>
        <w:t xml:space="preserve">       </w:t>
      </w:r>
      <w:proofErr w:type="gramStart"/>
      <w:r w:rsidRPr="00602710">
        <w:rPr>
          <w:rFonts w:eastAsia="Times New Roman"/>
          <w:b w:val="0"/>
          <w:lang w:eastAsia="ru-RU"/>
        </w:rPr>
        <w:t>Заключение контрольно-счетной комиссии городского округа город Михайловка Волгоградской области на проект решения Михайловской городской Думы  «О бюджете городского округа город Михайловка  Волгоградской области на 20</w:t>
      </w:r>
      <w:r w:rsidR="00BB6B73">
        <w:rPr>
          <w:rFonts w:eastAsia="Times New Roman"/>
          <w:b w:val="0"/>
          <w:lang w:eastAsia="ru-RU"/>
        </w:rPr>
        <w:t>20</w:t>
      </w:r>
      <w:r w:rsidRPr="00602710">
        <w:rPr>
          <w:rFonts w:eastAsia="Times New Roman"/>
          <w:b w:val="0"/>
          <w:lang w:eastAsia="ru-RU"/>
        </w:rPr>
        <w:t xml:space="preserve"> год и плановый период 20</w:t>
      </w:r>
      <w:r w:rsidR="0045646C">
        <w:rPr>
          <w:rFonts w:eastAsia="Times New Roman"/>
          <w:b w:val="0"/>
          <w:lang w:eastAsia="ru-RU"/>
        </w:rPr>
        <w:t>2</w:t>
      </w:r>
      <w:r w:rsidR="00BB6B73">
        <w:rPr>
          <w:rFonts w:eastAsia="Times New Roman"/>
          <w:b w:val="0"/>
          <w:lang w:eastAsia="ru-RU"/>
        </w:rPr>
        <w:t>1</w:t>
      </w:r>
      <w:r w:rsidRPr="00602710">
        <w:rPr>
          <w:rFonts w:eastAsia="Times New Roman"/>
          <w:b w:val="0"/>
          <w:lang w:eastAsia="ru-RU"/>
        </w:rPr>
        <w:t xml:space="preserve"> и 20</w:t>
      </w:r>
      <w:r>
        <w:rPr>
          <w:rFonts w:eastAsia="Times New Roman"/>
          <w:b w:val="0"/>
          <w:lang w:eastAsia="ru-RU"/>
        </w:rPr>
        <w:t>2</w:t>
      </w:r>
      <w:r w:rsidR="00BB6B73">
        <w:rPr>
          <w:rFonts w:eastAsia="Times New Roman"/>
          <w:b w:val="0"/>
          <w:lang w:eastAsia="ru-RU"/>
        </w:rPr>
        <w:t>2</w:t>
      </w:r>
      <w:r w:rsidRPr="00602710">
        <w:rPr>
          <w:rFonts w:eastAsia="Times New Roman"/>
          <w:b w:val="0"/>
          <w:lang w:eastAsia="ru-RU"/>
        </w:rPr>
        <w:t xml:space="preserve"> годов» подготовлено в соответствии со ст. 157  Бюджетного кодекса </w:t>
      </w:r>
      <w:r w:rsidRPr="00050BCC">
        <w:rPr>
          <w:rFonts w:eastAsia="Times New Roman"/>
          <w:b w:val="0"/>
          <w:lang w:eastAsia="ru-RU"/>
        </w:rPr>
        <w:t xml:space="preserve">Российской Федерации (далее по тексту - Бюджетный кодекс, БК РФ), ч. 2 ст. 9 Федерального закона № 6-ФЗ </w:t>
      </w:r>
      <w:r w:rsidRPr="00050BCC">
        <w:rPr>
          <w:b w:val="0"/>
          <w:bCs w:val="0"/>
        </w:rPr>
        <w:t xml:space="preserve"> от 7 февраля</w:t>
      </w:r>
      <w:proofErr w:type="gramEnd"/>
      <w:r w:rsidRPr="00050BCC">
        <w:rPr>
          <w:b w:val="0"/>
          <w:bCs w:val="0"/>
        </w:rPr>
        <w:t xml:space="preserve"> </w:t>
      </w:r>
      <w:proofErr w:type="gramStart"/>
      <w:r w:rsidRPr="00050BCC">
        <w:rPr>
          <w:b w:val="0"/>
          <w:bCs w:val="0"/>
        </w:rPr>
        <w:t xml:space="preserve">2011 года N 6-ФЗ "Об общих принципах организации и деятельности контрольно-счетных органов субъектов Российской Федерации и муниципальных образований", ст. 8 </w:t>
      </w:r>
      <w:r w:rsidRPr="00050BCC">
        <w:rPr>
          <w:rFonts w:eastAsia="Times New Roman"/>
          <w:b w:val="0"/>
          <w:lang w:eastAsia="ru-RU"/>
        </w:rPr>
        <w:t>Положения о бюджетном процессе в городском округе город Михайловка, утвержденного Решением Михайловской городской Думы от 31.03.2014 г. № 867 (далее – Положение о бюджетном процессе), ст. 8 Положения о контрольно-счетном органе городского округа город Михайловка – контрольно-счетной комиссии, утвержденного Решением Михайловской городской Думы</w:t>
      </w:r>
      <w:proofErr w:type="gramEnd"/>
      <w:r w:rsidRPr="00050BCC">
        <w:rPr>
          <w:rFonts w:eastAsia="Times New Roman"/>
          <w:b w:val="0"/>
          <w:lang w:eastAsia="ru-RU"/>
        </w:rPr>
        <w:t xml:space="preserve"> от 28.</w:t>
      </w:r>
      <w:r w:rsidRPr="00F81700">
        <w:rPr>
          <w:rFonts w:eastAsia="Times New Roman"/>
          <w:b w:val="0"/>
          <w:lang w:eastAsia="ru-RU"/>
        </w:rPr>
        <w:t xml:space="preserve">12.2009 № 482 и иными нормативными правовыми актами. </w:t>
      </w:r>
    </w:p>
    <w:p w:rsidR="007D2C2F" w:rsidRPr="00F81700" w:rsidRDefault="007D2C2F" w:rsidP="007D2C2F">
      <w:pPr>
        <w:pStyle w:val="ConsPlusNormal"/>
        <w:ind w:firstLine="540"/>
        <w:jc w:val="both"/>
        <w:rPr>
          <w:b w:val="0"/>
        </w:rPr>
      </w:pPr>
      <w:r w:rsidRPr="00F81700">
        <w:rPr>
          <w:rFonts w:eastAsia="Times New Roman"/>
          <w:b w:val="0"/>
          <w:lang w:eastAsia="ru-RU"/>
        </w:rPr>
        <w:t xml:space="preserve">В соответствии со ст. 40 Положения о бюджетном процессе в городском округе город Михайловка, </w:t>
      </w:r>
      <w:bookmarkStart w:id="0" w:name="_Toc340744293"/>
      <w:bookmarkStart w:id="1" w:name="_Toc277502342"/>
      <w:r w:rsidRPr="00F81700">
        <w:rPr>
          <w:b w:val="0"/>
        </w:rPr>
        <w:t>Михайловская городская Дума, при рассмотрении проекта решения Михайловской городской Думы о бюджете городского округа на очередной финансовый год и плановый период, во втором чтении утверждает:</w:t>
      </w:r>
    </w:p>
    <w:p w:rsidR="009D0A0A" w:rsidRDefault="009D0A0A" w:rsidP="009D0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текстовую часть проекта решения о бюджете, в том числе общий объем бюджетных ассигнований, направляемых на исполнение публичных нормативных обязательств в очередном финансовом году и плановом периоде;</w:t>
      </w:r>
    </w:p>
    <w:p w:rsidR="009D0A0A" w:rsidRDefault="009D0A0A" w:rsidP="009D0A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решению о бюджете городского округа, устанавливающие:</w:t>
      </w:r>
    </w:p>
    <w:p w:rsidR="009D0A0A" w:rsidRDefault="009D0A0A" w:rsidP="009D0A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городского округа;</w:t>
      </w:r>
    </w:p>
    <w:p w:rsidR="009D0A0A" w:rsidRDefault="009D0A0A" w:rsidP="009D0A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0A0A" w:rsidRDefault="009D0A0A" w:rsidP="009D0A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главных распорядителей средств бюджета городского округа в составе ведомственной структуры расходов бюджета;</w:t>
      </w:r>
    </w:p>
    <w:p w:rsidR="009D0A0A" w:rsidRDefault="009D0A0A" w:rsidP="009D0A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распределение бюджетных ассигнований по разделам, подразделам классификации расходов бюджетов на очередной финансовый год и плановый период;</w:t>
      </w:r>
    </w:p>
    <w:p w:rsidR="009D0A0A" w:rsidRDefault="009D0A0A" w:rsidP="009D0A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9D0A0A" w:rsidRDefault="009D0A0A" w:rsidP="009D0A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на очередной финансовый год и плановый период;</w:t>
      </w:r>
    </w:p>
    <w:p w:rsidR="009D0A0A" w:rsidRDefault="009D0A0A" w:rsidP="009D0A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строек и объектов строительства, реконструкции и технического перевооружения для муниципальных нужд на очередной финансовый год и плановый период;</w:t>
      </w:r>
    </w:p>
    <w:p w:rsidR="009D0A0A" w:rsidRDefault="009D0A0A" w:rsidP="009D0A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реализацию муниципальных программ на очередной финансовый год и плановый период;</w:t>
      </w:r>
    </w:p>
    <w:p w:rsidR="009D0A0A" w:rsidRDefault="009D0A0A" w:rsidP="009D0A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реализацию ведомственных целевых программ на очередной финансовый год и плановый период;</w:t>
      </w:r>
    </w:p>
    <w:p w:rsidR="009D0A0A" w:rsidRDefault="009D0A0A" w:rsidP="009D0A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городского округа на выполнение передаваемых государственных полномочий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социальных расходов;</w:t>
      </w:r>
    </w:p>
    <w:p w:rsidR="009D0A0A" w:rsidRDefault="009D0A0A" w:rsidP="009D0A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на очередной финансовый год и плановый период;</w:t>
      </w:r>
    </w:p>
    <w:p w:rsidR="009D0A0A" w:rsidRDefault="009D0A0A" w:rsidP="009D0A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муниципальных внутренних заимствований городского округа на очередной финансовый год и плановый период;</w:t>
      </w:r>
    </w:p>
    <w:p w:rsidR="009D0A0A" w:rsidRDefault="009D0A0A" w:rsidP="009D0A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муниципальных гарантий городского округа на очередной финансовый год и плановый период, в которой предусмотрено каждое направление (цель) гарантирования с указанием категорий и (или) наименований принципалов,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превышает 100 тысяч рублей.</w:t>
      </w:r>
    </w:p>
    <w:p w:rsidR="009D0A0A" w:rsidRDefault="009D0A0A" w:rsidP="007D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2C2F" w:rsidRPr="002126DD" w:rsidRDefault="007D2C2F" w:rsidP="007D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 бюджета внесен на рассмотрение Михайловской городской Думы в срок, установленный ч. 1 ст. 25 </w:t>
      </w:r>
      <w:r w:rsidRPr="00212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бюджетном процессе в городском округе город Михайловка, утвержденного Решением Михайловской городской Думы от 31.03.2014 г. № 867.</w:t>
      </w:r>
    </w:p>
    <w:p w:rsidR="007D2C2F" w:rsidRPr="00FD5C82" w:rsidRDefault="007D2C2F" w:rsidP="007D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169 БК РФ, а также ч. 2 ст. 17 Положения о бюджетном процессе в городском округе город Михайловка, утвержденного Решением Михайловской городской Думы от 31.03.2014 г. № 867, проект бюджета составлен на очередной финансовый 20</w:t>
      </w:r>
      <w:r w:rsidR="009D0A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FD5C82" w:rsidRPr="00FD5C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0A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D0A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7D2C2F" w:rsidRPr="00AC24F7" w:rsidRDefault="007D2C2F" w:rsidP="007D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D2C2F" w:rsidRPr="00FD5C82" w:rsidRDefault="007D2C2F" w:rsidP="007D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Общая характеристика расходной части  бюджета</w:t>
      </w:r>
      <w:bookmarkEnd w:id="0"/>
      <w:bookmarkEnd w:id="1"/>
    </w:p>
    <w:p w:rsidR="007D2C2F" w:rsidRPr="00FD5C82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86" w:rsidRPr="00B802A5" w:rsidRDefault="00EF1086" w:rsidP="00EF10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проекта бюджета на 2020</w:t>
      </w:r>
      <w:r w:rsidRPr="0059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00C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приведены в таблице:</w:t>
      </w:r>
    </w:p>
    <w:p w:rsidR="00EF1086" w:rsidRPr="00B802A5" w:rsidRDefault="00EF1086" w:rsidP="00EF108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802A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тыс. руб.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3869"/>
        <w:gridCol w:w="1455"/>
        <w:gridCol w:w="1455"/>
        <w:gridCol w:w="1338"/>
        <w:gridCol w:w="1453"/>
      </w:tblGrid>
      <w:tr w:rsidR="00EF1086" w:rsidRPr="00B802A5" w:rsidTr="00F8614F">
        <w:tc>
          <w:tcPr>
            <w:tcW w:w="2022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2019 года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2020</w:t>
            </w: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69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75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EF1086" w:rsidRPr="00B802A5" w:rsidTr="00F8614F">
        <w:tc>
          <w:tcPr>
            <w:tcW w:w="2022" w:type="pct"/>
          </w:tcPr>
          <w:p w:rsidR="00EF1086" w:rsidRPr="00B802A5" w:rsidRDefault="00EF1086" w:rsidP="00F861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1530134,8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1577535,9</w:t>
            </w:r>
          </w:p>
        </w:tc>
        <w:tc>
          <w:tcPr>
            <w:tcW w:w="69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1776369,5</w:t>
            </w:r>
          </w:p>
        </w:tc>
        <w:tc>
          <w:tcPr>
            <w:tcW w:w="75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1596597,5</w:t>
            </w:r>
          </w:p>
        </w:tc>
      </w:tr>
      <w:tr w:rsidR="00EF1086" w:rsidRPr="00B802A5" w:rsidTr="00F8614F">
        <w:tc>
          <w:tcPr>
            <w:tcW w:w="2022" w:type="pct"/>
          </w:tcPr>
          <w:p w:rsidR="00EF1086" w:rsidRPr="00B802A5" w:rsidRDefault="00EF1086" w:rsidP="00F861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799827,0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746708,4</w:t>
            </w:r>
          </w:p>
        </w:tc>
        <w:tc>
          <w:tcPr>
            <w:tcW w:w="69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703201,1</w:t>
            </w:r>
          </w:p>
        </w:tc>
        <w:tc>
          <w:tcPr>
            <w:tcW w:w="75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711273,3</w:t>
            </w:r>
          </w:p>
        </w:tc>
      </w:tr>
      <w:tr w:rsidR="00EF1086" w:rsidRPr="00B802A5" w:rsidTr="00F8614F">
        <w:tc>
          <w:tcPr>
            <w:tcW w:w="2022" w:type="pct"/>
          </w:tcPr>
          <w:p w:rsidR="00EF1086" w:rsidRPr="00B802A5" w:rsidRDefault="00EF1086" w:rsidP="00F861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730307,8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830827,5</w:t>
            </w:r>
          </w:p>
        </w:tc>
        <w:tc>
          <w:tcPr>
            <w:tcW w:w="69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1073168,4</w:t>
            </w:r>
          </w:p>
        </w:tc>
        <w:tc>
          <w:tcPr>
            <w:tcW w:w="75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885324,2</w:t>
            </w:r>
          </w:p>
        </w:tc>
      </w:tr>
      <w:tr w:rsidR="00EF1086" w:rsidRPr="00B802A5" w:rsidTr="00F8614F">
        <w:tc>
          <w:tcPr>
            <w:tcW w:w="2022" w:type="pct"/>
          </w:tcPr>
          <w:p w:rsidR="00EF1086" w:rsidRPr="00B802A5" w:rsidRDefault="00EF1086" w:rsidP="00F861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1530134,8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1577535,9</w:t>
            </w:r>
          </w:p>
        </w:tc>
        <w:tc>
          <w:tcPr>
            <w:tcW w:w="69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1776369,5</w:t>
            </w:r>
          </w:p>
        </w:tc>
        <w:tc>
          <w:tcPr>
            <w:tcW w:w="75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1596597,5</w:t>
            </w:r>
          </w:p>
        </w:tc>
      </w:tr>
      <w:tr w:rsidR="00EF1086" w:rsidRPr="00B802A5" w:rsidTr="00F8614F">
        <w:tc>
          <w:tcPr>
            <w:tcW w:w="2022" w:type="pct"/>
          </w:tcPr>
          <w:p w:rsidR="00EF1086" w:rsidRPr="00B802A5" w:rsidRDefault="00EF1086" w:rsidP="00F861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 ч. условно-утверждаемые расходы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17580,0</w:t>
            </w:r>
          </w:p>
        </w:tc>
        <w:tc>
          <w:tcPr>
            <w:tcW w:w="75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35563,7</w:t>
            </w:r>
          </w:p>
        </w:tc>
      </w:tr>
      <w:tr w:rsidR="00EF1086" w:rsidRPr="00B802A5" w:rsidTr="00F8614F">
        <w:tc>
          <w:tcPr>
            <w:tcW w:w="2022" w:type="pct"/>
          </w:tcPr>
          <w:p w:rsidR="00EF1086" w:rsidRPr="00B802A5" w:rsidRDefault="00EF1086" w:rsidP="00F861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условно утверждаемых расходов</w:t>
            </w:r>
            <w:proofErr w:type="gramStart"/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5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F1086" w:rsidRPr="00B802A5" w:rsidTr="00F8614F">
        <w:tc>
          <w:tcPr>
            <w:tcW w:w="2022" w:type="pct"/>
          </w:tcPr>
          <w:p w:rsidR="00EF1086" w:rsidRPr="00B802A5" w:rsidRDefault="00EF1086" w:rsidP="00F861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F1086" w:rsidRPr="00B802A5" w:rsidTr="00F8614F">
        <w:tc>
          <w:tcPr>
            <w:tcW w:w="2022" w:type="pct"/>
          </w:tcPr>
          <w:p w:rsidR="00EF1086" w:rsidRPr="00B802A5" w:rsidRDefault="00EF1086" w:rsidP="00F861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9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5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EF1086" w:rsidRPr="00B802A5" w:rsidTr="00F8614F">
        <w:tc>
          <w:tcPr>
            <w:tcW w:w="2022" w:type="pct"/>
          </w:tcPr>
          <w:p w:rsidR="00EF1086" w:rsidRPr="00B802A5" w:rsidRDefault="00EF1086" w:rsidP="00F861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резервного фонда в общей сумме расходов</w:t>
            </w:r>
            <w:proofErr w:type="gramStart"/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9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5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EF1086" w:rsidRPr="00B802A5" w:rsidTr="00F8614F">
        <w:tc>
          <w:tcPr>
            <w:tcW w:w="2022" w:type="pct"/>
          </w:tcPr>
          <w:p w:rsidR="00EF1086" w:rsidRPr="00B802A5" w:rsidRDefault="00EF1086" w:rsidP="00F861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5648,5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69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3299,3</w:t>
            </w:r>
          </w:p>
        </w:tc>
        <w:tc>
          <w:tcPr>
            <w:tcW w:w="75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086" w:rsidRPr="00B802A5" w:rsidTr="00F8614F">
        <w:tc>
          <w:tcPr>
            <w:tcW w:w="2022" w:type="pct"/>
          </w:tcPr>
          <w:p w:rsidR="00EF1086" w:rsidRPr="00B802A5" w:rsidRDefault="00EF1086" w:rsidP="00F861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на обслуживание муниципального долга</w:t>
            </w:r>
            <w:proofErr w:type="gramStart"/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69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75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F1086" w:rsidRPr="00B802A5" w:rsidTr="00F8614F">
        <w:tc>
          <w:tcPr>
            <w:tcW w:w="2022" w:type="pct"/>
          </w:tcPr>
          <w:p w:rsidR="00EF1086" w:rsidRPr="00B802A5" w:rsidRDefault="00EF1086" w:rsidP="00F861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предельный объем муниципального долга 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69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75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</w:tr>
      <w:tr w:rsidR="00EF1086" w:rsidRPr="00B802A5" w:rsidTr="00F8614F">
        <w:tc>
          <w:tcPr>
            <w:tcW w:w="2022" w:type="pct"/>
          </w:tcPr>
          <w:p w:rsidR="00EF1086" w:rsidRPr="00B802A5" w:rsidRDefault="00EF1086" w:rsidP="00F861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программы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208572,7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245684,7</w:t>
            </w:r>
          </w:p>
        </w:tc>
        <w:tc>
          <w:tcPr>
            <w:tcW w:w="69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481782,2</w:t>
            </w:r>
          </w:p>
        </w:tc>
        <w:tc>
          <w:tcPr>
            <w:tcW w:w="75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279040,3</w:t>
            </w:r>
          </w:p>
        </w:tc>
      </w:tr>
      <w:tr w:rsidR="00EF1086" w:rsidRPr="00B802A5" w:rsidTr="00F8614F">
        <w:tc>
          <w:tcPr>
            <w:tcW w:w="2022" w:type="pct"/>
          </w:tcPr>
          <w:p w:rsidR="00EF1086" w:rsidRPr="00B802A5" w:rsidRDefault="00EF1086" w:rsidP="00F861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программ в общей сумме расходов</w:t>
            </w:r>
            <w:proofErr w:type="gramStart"/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69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75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EF1086" w:rsidRPr="00B802A5" w:rsidTr="00F8614F">
        <w:tc>
          <w:tcPr>
            <w:tcW w:w="2022" w:type="pct"/>
          </w:tcPr>
          <w:p w:rsidR="00EF1086" w:rsidRPr="00B802A5" w:rsidRDefault="00EF1086" w:rsidP="00F861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Ведомственные программы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980717,9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983771,3</w:t>
            </w:r>
          </w:p>
        </w:tc>
        <w:tc>
          <w:tcPr>
            <w:tcW w:w="69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950341,7</w:t>
            </w:r>
          </w:p>
        </w:tc>
        <w:tc>
          <w:tcPr>
            <w:tcW w:w="75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F1086" w:rsidRPr="00B802A5" w:rsidTr="00F8614F">
        <w:tc>
          <w:tcPr>
            <w:tcW w:w="2022" w:type="pct"/>
          </w:tcPr>
          <w:p w:rsidR="00EF1086" w:rsidRPr="00B802A5" w:rsidRDefault="00EF1086" w:rsidP="00F861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ведомственных программ в общей сумме расходов</w:t>
            </w:r>
            <w:proofErr w:type="gramStart"/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760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69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59" w:type="pct"/>
          </w:tcPr>
          <w:p w:rsidR="00EF1086" w:rsidRPr="00B802A5" w:rsidRDefault="00EF1086" w:rsidP="00F86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7D2C2F" w:rsidRPr="00342250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342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 проектом бюджета предусмотрено увеличение доходов и расходов. Основной объем расходов на 20</w:t>
      </w:r>
      <w:r w:rsidR="00EF10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 в рамках реализации муниципальных программ и ведомственных целевых программ. </w:t>
      </w:r>
    </w:p>
    <w:p w:rsidR="007D2C2F" w:rsidRPr="00342250" w:rsidRDefault="007D2C2F" w:rsidP="007D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C2F" w:rsidRPr="00342250" w:rsidRDefault="007D2C2F" w:rsidP="007D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C2F" w:rsidRPr="00AC24F7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D2C2F" w:rsidRPr="00AC24F7" w:rsidRDefault="007D2C2F" w:rsidP="007D2C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51A4148D" wp14:editId="1EB54F06">
            <wp:extent cx="5410200" cy="5381625"/>
            <wp:effectExtent l="0" t="0" r="19050" b="9525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2C2F" w:rsidRPr="00902DCF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4F" w:rsidRPr="001455FA" w:rsidRDefault="00F8614F" w:rsidP="00F8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Изменение объемов ассигнований расходов по проекту бюджета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4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и 2022</w:t>
      </w:r>
      <w:r w:rsidRPr="0014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характеризуется следующими данными:</w:t>
      </w:r>
    </w:p>
    <w:p w:rsidR="00F8614F" w:rsidRPr="001455FA" w:rsidRDefault="00F8614F" w:rsidP="00F861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1"/>
        <w:gridCol w:w="1006"/>
        <w:gridCol w:w="800"/>
        <w:gridCol w:w="910"/>
        <w:gridCol w:w="650"/>
        <w:gridCol w:w="910"/>
        <w:gridCol w:w="650"/>
        <w:gridCol w:w="910"/>
        <w:gridCol w:w="657"/>
      </w:tblGrid>
      <w:tr w:rsidR="00F8614F" w:rsidRPr="001455FA" w:rsidTr="00F8614F">
        <w:trPr>
          <w:trHeight w:val="271"/>
          <w:tblHeader/>
        </w:trPr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F" w:rsidRPr="001455FA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5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расходов                </w:t>
            </w:r>
          </w:p>
        </w:tc>
        <w:tc>
          <w:tcPr>
            <w:tcW w:w="34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F" w:rsidRPr="001455FA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5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Проект  бюджета </w:t>
            </w:r>
          </w:p>
        </w:tc>
      </w:tr>
      <w:tr w:rsidR="00F8614F" w:rsidRPr="001109A1" w:rsidTr="00F8614F">
        <w:trPr>
          <w:trHeight w:val="33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4F" w:rsidRPr="001109A1" w:rsidRDefault="00F8614F" w:rsidP="00F86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</w:tr>
      <w:tr w:rsidR="00F8614F" w:rsidRPr="001109A1" w:rsidTr="00F8614F">
        <w:trPr>
          <w:trHeight w:val="461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ОБЩЕГОСУДАРСТВЕННЫЕ ВОПРОСЫ                        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192882,5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12,61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200936,5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12,74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186353,4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10,49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188587,9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11,81</w:t>
            </w:r>
          </w:p>
        </w:tc>
      </w:tr>
      <w:tr w:rsidR="00F8614F" w:rsidRPr="001109A1" w:rsidTr="00F8614F">
        <w:trPr>
          <w:trHeight w:val="797"/>
        </w:trPr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БЕЗОПАСНОСТЬ И ПРАВООХРАНИТЕЛЬНАЯ  ДЕЯТЕЛЬНОСТЬ                                         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12502,8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9109,0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8578,2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8676,8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0,54</w:t>
            </w:r>
          </w:p>
        </w:tc>
      </w:tr>
      <w:tr w:rsidR="00F8614F" w:rsidRPr="001109A1" w:rsidTr="00F8614F">
        <w:trPr>
          <w:trHeight w:val="204"/>
        </w:trPr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ЭКОНОМИКА                               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78616,0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5,14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76367,9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4,84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74321,0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77765,9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4,87</w:t>
            </w:r>
          </w:p>
        </w:tc>
      </w:tr>
      <w:tr w:rsidR="00F8614F" w:rsidRPr="001109A1" w:rsidTr="00F8614F">
        <w:trPr>
          <w:trHeight w:val="418"/>
        </w:trPr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ЖИЛИЩНО-КОММУНАЛЬНОЕ ХОЗЯЙСТВО                       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103748,5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6,78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83143,5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5,27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80710,8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78822,4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4,94</w:t>
            </w:r>
          </w:p>
        </w:tc>
      </w:tr>
      <w:tr w:rsidR="00F8614F" w:rsidRPr="001109A1" w:rsidTr="00F8614F">
        <w:trPr>
          <w:trHeight w:val="257"/>
        </w:trPr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ОБРАЗОВАНИЕ                                          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896790,5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964571,1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61,14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1204770,2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67,82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1018952,4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63,82</w:t>
            </w:r>
          </w:p>
        </w:tc>
      </w:tr>
      <w:tr w:rsidR="00F8614F" w:rsidRPr="001109A1" w:rsidTr="00F8614F">
        <w:trPr>
          <w:trHeight w:val="216"/>
        </w:trPr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95265,0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6,23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79925,3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75268,1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4,24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76132,2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4,77</w:t>
            </w:r>
          </w:p>
        </w:tc>
      </w:tr>
      <w:tr w:rsidR="00F8614F" w:rsidRPr="001109A1" w:rsidTr="00F8614F">
        <w:trPr>
          <w:trHeight w:val="242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СОЦИАЛЬНАЯ ПОЛИТИКА                                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99070,4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6,47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99976,2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6,34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105397,8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109568,5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6,86</w:t>
            </w:r>
          </w:p>
        </w:tc>
      </w:tr>
      <w:tr w:rsidR="00F8614F" w:rsidRPr="001109A1" w:rsidTr="00F8614F">
        <w:trPr>
          <w:trHeight w:val="37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ФИЗИЧЕСКАЯ КУЛЬТУРА И СПОРТ                       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42246,7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2,76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57863,8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3,67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35644,6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36043,7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2,26</w:t>
            </w:r>
          </w:p>
        </w:tc>
      </w:tr>
      <w:tr w:rsidR="00F8614F" w:rsidRPr="001109A1" w:rsidTr="00F8614F">
        <w:trPr>
          <w:trHeight w:val="403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3363,9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2142,6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2026,1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0,13</w:t>
            </w:r>
          </w:p>
        </w:tc>
      </w:tr>
      <w:tr w:rsidR="00F8614F" w:rsidRPr="001109A1" w:rsidTr="00F8614F">
        <w:trPr>
          <w:trHeight w:val="403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5648,5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3,69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3299,3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8614F" w:rsidRPr="001109A1" w:rsidTr="00F8614F">
        <w:trPr>
          <w:trHeight w:val="257"/>
        </w:trPr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1530134,8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1577535,9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1776369,5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1596597,5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14F" w:rsidRPr="001109A1" w:rsidRDefault="00F8614F" w:rsidP="00F86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F8614F" w:rsidRPr="008E4E6C" w:rsidRDefault="00F8614F" w:rsidP="00F8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C24F7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0FF2EFFF" wp14:editId="75EDD024">
            <wp:extent cx="5972175" cy="3209925"/>
            <wp:effectExtent l="0" t="0" r="9525" b="9525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4A0A" w:rsidRPr="00D71A02" w:rsidRDefault="008F3BA9" w:rsidP="00D71A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Как и в предыдущие периоды, бюджет имеет социальную направленность. Доля расходов бюджета, приходящихся на обеспечение нужд образования, культуры,  социальной политики, физической культуры и спорта, средства массовой информации в очередном перио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 планируется на уровне 76,3</w:t>
      </w:r>
      <w:r w:rsidRPr="00E34B0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04717" w:rsidRPr="007A4ABA" w:rsidRDefault="00E04717" w:rsidP="00E047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 ст. 179 Бюджетного кодекса РФ, а также </w:t>
      </w:r>
      <w:r w:rsidRPr="004B7452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городского округа город Михайловка Волгоградской области от 07 декабря 2015 г. N 3447 "Об утверждении Положения о ведомственных целевых программах городского округа город Михайловка", Постановлением от 29 декабря 2016 г. N 3419 «Об утверждении положения о муниципальных программах городского округа город Михайловка», </w:t>
      </w:r>
      <w:r w:rsidRPr="004B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A4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бюджета городского округа город</w:t>
      </w:r>
      <w:proofErr w:type="gramEnd"/>
      <w:r w:rsidRPr="007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Михайловка предусмотрено финансирование 36 программ, в том числе: 31 </w:t>
      </w:r>
      <w:proofErr w:type="gramStart"/>
      <w:r w:rsidRPr="007A4A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7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5 ведомственных программ.</w:t>
      </w:r>
    </w:p>
    <w:p w:rsidR="00E04717" w:rsidRPr="001117E5" w:rsidRDefault="00E04717" w:rsidP="00E04717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Финансирование расходов </w:t>
      </w:r>
      <w:r w:rsidRPr="000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программы</w:t>
      </w:r>
      <w:r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определено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1229456,0 </w:t>
      </w:r>
      <w:r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</w:t>
      </w:r>
      <w:r w:rsidRPr="000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(что больше 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40165,4</w:t>
      </w:r>
      <w:r w:rsidRPr="000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 руб. чем в проекте бюджета на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год), в т. ч. на муниципальные </w:t>
      </w:r>
      <w:r w:rsidRPr="0011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245684,7 </w:t>
      </w:r>
      <w:r w:rsidRPr="0011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руб., на ведомственные целевые программы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983771,3 </w:t>
      </w:r>
      <w:r w:rsidRPr="0011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Pr="0011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04717" w:rsidRPr="00BD7058" w:rsidRDefault="00E04717" w:rsidP="00E047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Объем ассигнований на муниципальные и ведомственные целевые программы предусмотрен в проекте решения в размере 77,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D7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от общих расходов бюджета на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D7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в то время как удельный вес программных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проекте  бюджета на  2019</w:t>
      </w:r>
      <w:r w:rsidRPr="00BD7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составлял 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7,7%.</w:t>
      </w:r>
    </w:p>
    <w:p w:rsidR="007D2C2F" w:rsidRPr="00AC24F7" w:rsidRDefault="007D2C2F" w:rsidP="007D2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F00EFA" w:rsidRPr="002F3FED" w:rsidTr="00ED5143">
        <w:tc>
          <w:tcPr>
            <w:tcW w:w="1250" w:type="pct"/>
          </w:tcPr>
          <w:p w:rsidR="00F00EFA" w:rsidRPr="002F3FED" w:rsidRDefault="00F00EFA" w:rsidP="00456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</w:tcPr>
          <w:p w:rsidR="00F00EFA" w:rsidRPr="002F3FED" w:rsidRDefault="00F00EFA" w:rsidP="00ED5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50" w:type="pct"/>
          </w:tcPr>
          <w:p w:rsidR="00F00EFA" w:rsidRPr="002F3FED" w:rsidRDefault="00F00EFA" w:rsidP="00ED5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50" w:type="pct"/>
          </w:tcPr>
          <w:p w:rsidR="00F00EFA" w:rsidRPr="002F3FED" w:rsidRDefault="00F00EFA" w:rsidP="00F00E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00EFA" w:rsidRPr="002F3FED" w:rsidTr="00ED5143">
        <w:tc>
          <w:tcPr>
            <w:tcW w:w="1250" w:type="pct"/>
          </w:tcPr>
          <w:p w:rsidR="00F00EFA" w:rsidRPr="002F3FED" w:rsidRDefault="00F00EFA" w:rsidP="00456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программ</w:t>
            </w:r>
          </w:p>
        </w:tc>
        <w:tc>
          <w:tcPr>
            <w:tcW w:w="1250" w:type="pct"/>
          </w:tcPr>
          <w:p w:rsidR="00F00EFA" w:rsidRPr="002F3FED" w:rsidRDefault="00F00EFA" w:rsidP="00ED5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0" w:type="pct"/>
          </w:tcPr>
          <w:p w:rsidR="00F00EFA" w:rsidRPr="002F3FED" w:rsidRDefault="00F00EFA" w:rsidP="00ED5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50" w:type="pct"/>
          </w:tcPr>
          <w:p w:rsidR="00F00EFA" w:rsidRPr="002F3FED" w:rsidRDefault="00F00EFA" w:rsidP="0045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F00EFA" w:rsidRPr="002F3FED" w:rsidTr="0045646C">
        <w:tc>
          <w:tcPr>
            <w:tcW w:w="1250" w:type="pct"/>
          </w:tcPr>
          <w:p w:rsidR="00F00EFA" w:rsidRPr="002F3FED" w:rsidRDefault="00F00EFA" w:rsidP="00456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предусмотренный проектом бюджета, тыс. руб.</w:t>
            </w:r>
          </w:p>
        </w:tc>
        <w:tc>
          <w:tcPr>
            <w:tcW w:w="1250" w:type="pct"/>
            <w:vAlign w:val="center"/>
          </w:tcPr>
          <w:p w:rsidR="00F00EFA" w:rsidRPr="002F3FED" w:rsidRDefault="00F00EFA" w:rsidP="00ED5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1106877,90</w:t>
            </w:r>
          </w:p>
        </w:tc>
        <w:tc>
          <w:tcPr>
            <w:tcW w:w="1250" w:type="pct"/>
            <w:vAlign w:val="center"/>
          </w:tcPr>
          <w:p w:rsidR="00F00EFA" w:rsidRPr="002F3FED" w:rsidRDefault="00F00EFA" w:rsidP="00ED5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1189290,6   </w:t>
            </w:r>
          </w:p>
        </w:tc>
        <w:tc>
          <w:tcPr>
            <w:tcW w:w="1250" w:type="pct"/>
            <w:vAlign w:val="center"/>
          </w:tcPr>
          <w:p w:rsidR="00F00EFA" w:rsidRPr="00E4393C" w:rsidRDefault="00E4393C" w:rsidP="0045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1229456,0</w:t>
            </w:r>
          </w:p>
        </w:tc>
      </w:tr>
      <w:tr w:rsidR="00F00EFA" w:rsidRPr="002F3FED" w:rsidTr="0045646C">
        <w:tc>
          <w:tcPr>
            <w:tcW w:w="1250" w:type="pct"/>
          </w:tcPr>
          <w:p w:rsidR="00F00EFA" w:rsidRPr="002F3FED" w:rsidRDefault="00F00EFA" w:rsidP="00456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расходов, предусмотренный проектом решения, тыс. рублей.</w:t>
            </w:r>
          </w:p>
        </w:tc>
        <w:tc>
          <w:tcPr>
            <w:tcW w:w="1250" w:type="pct"/>
            <w:vAlign w:val="center"/>
          </w:tcPr>
          <w:p w:rsidR="00F00EFA" w:rsidRPr="002F3FED" w:rsidRDefault="00F00EFA" w:rsidP="00ED51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3F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1398284,4</w:t>
            </w:r>
          </w:p>
        </w:tc>
        <w:tc>
          <w:tcPr>
            <w:tcW w:w="1250" w:type="pct"/>
            <w:vAlign w:val="center"/>
          </w:tcPr>
          <w:p w:rsidR="00F00EFA" w:rsidRPr="002F3FED" w:rsidRDefault="00F00EFA" w:rsidP="00ED51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3F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1530134,8</w:t>
            </w:r>
          </w:p>
        </w:tc>
        <w:tc>
          <w:tcPr>
            <w:tcW w:w="1250" w:type="pct"/>
            <w:vAlign w:val="center"/>
          </w:tcPr>
          <w:p w:rsidR="00F00EFA" w:rsidRPr="002F3FED" w:rsidRDefault="00BF6802" w:rsidP="0045646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1577535,9</w:t>
            </w:r>
          </w:p>
        </w:tc>
      </w:tr>
      <w:tr w:rsidR="00F00EFA" w:rsidRPr="002F3FED" w:rsidTr="0045646C">
        <w:tc>
          <w:tcPr>
            <w:tcW w:w="1250" w:type="pct"/>
          </w:tcPr>
          <w:p w:rsidR="00F00EFA" w:rsidRPr="002F3FED" w:rsidRDefault="00F00EFA" w:rsidP="00456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программ в общих расходах, тыс. рублей</w:t>
            </w:r>
          </w:p>
        </w:tc>
        <w:tc>
          <w:tcPr>
            <w:tcW w:w="1250" w:type="pct"/>
            <w:vAlign w:val="center"/>
          </w:tcPr>
          <w:p w:rsidR="00F00EFA" w:rsidRPr="002F3FED" w:rsidRDefault="00F00EFA" w:rsidP="00ED5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50" w:type="pct"/>
            <w:vAlign w:val="center"/>
          </w:tcPr>
          <w:p w:rsidR="00F00EFA" w:rsidRPr="002F3FED" w:rsidRDefault="00F00EFA" w:rsidP="00ED5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250" w:type="pct"/>
            <w:vAlign w:val="center"/>
          </w:tcPr>
          <w:p w:rsidR="00F00EFA" w:rsidRPr="002F3FED" w:rsidRDefault="00BF6802" w:rsidP="0045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</w:tr>
    </w:tbl>
    <w:p w:rsidR="007D2C2F" w:rsidRPr="002F3FED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813" w:rsidRPr="00865813" w:rsidRDefault="007D2C2F" w:rsidP="00CF5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приведенной таблицы видно, что </w:t>
      </w:r>
      <w:r w:rsidR="00592AB6" w:rsidRPr="0009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ассигнований на исполнение </w:t>
      </w:r>
      <w:r w:rsidRPr="000917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ведомственных программ</w:t>
      </w:r>
      <w:r w:rsidR="00592A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592AB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9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  <w:r w:rsidR="00592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</w:t>
      </w:r>
      <w:r w:rsidR="00592AB6" w:rsidRPr="000917A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592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AB6" w:rsidRPr="004B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0D3" w:rsidRDefault="0044473D" w:rsidP="007A0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865813"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Экспертиза представленных паспортов муниципальных</w:t>
      </w:r>
      <w:r w:rsidR="00C461B7"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65813"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 и проекта бюджета п</w:t>
      </w:r>
      <w:r w:rsidR="00895F80"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оказала, что </w:t>
      </w:r>
      <w:r w:rsidR="003305C1"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потребность в финансировании</w:t>
      </w:r>
      <w:r w:rsidR="00337FC0"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65813"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7FC0"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>в 20</w:t>
      </w:r>
      <w:r w:rsidR="00153B07"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337FC0"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</w:t>
      </w:r>
      <w:r w:rsidR="00776051"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выше на </w:t>
      </w:r>
      <w:r w:rsidR="003305C1"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53B07"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232072,6 </w:t>
      </w:r>
      <w:r w:rsidR="00865813"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</w:t>
      </w:r>
      <w:r w:rsidR="00990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>(в 2 раза)</w:t>
      </w:r>
      <w:r w:rsidR="00865813"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6051"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планируемого </w:t>
      </w:r>
      <w:r w:rsidR="004532A4"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проектом решения </w:t>
      </w:r>
      <w:r w:rsidR="00776051"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объема средств.</w:t>
      </w:r>
      <w:r w:rsidR="007A00D3" w:rsidRPr="00F73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990478" w:rsidRPr="00153B07" w:rsidRDefault="007A00D3" w:rsidP="00C46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422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F73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соответствии со статьей 179 БК РФ муниципальные программы подлежат приведению в соответствие с решением о бюджете не позднее трех месяцев со дня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вступления его в силу.</w:t>
      </w:r>
    </w:p>
    <w:p w:rsidR="007A00D3" w:rsidRPr="00F7307E" w:rsidRDefault="00CA0A19" w:rsidP="007A00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4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990478" w:rsidRPr="0099047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</w:t>
      </w:r>
      <w:r w:rsidR="00990478" w:rsidRPr="0099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Проверкой установлено:  в результате технической ошибки, в </w:t>
      </w:r>
      <w:r w:rsidR="001F1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проекте </w:t>
      </w:r>
      <w:r w:rsidR="00990478" w:rsidRPr="0099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5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</w:t>
      </w:r>
      <w:r w:rsidR="00990478" w:rsidRPr="0099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плановый период 20</w:t>
      </w:r>
      <w:r w:rsidR="0099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21, 2022</w:t>
      </w:r>
      <w:r w:rsidR="00990478" w:rsidRPr="0099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годов, предусмотрены  ассигнования по муниципальной</w:t>
      </w:r>
      <w:r w:rsidR="0099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«Устойчивое развитие сельских территорий на 2014-2017 годы и на период до 2020 года», </w:t>
      </w:r>
      <w:r w:rsidR="00990478" w:rsidRPr="0099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т.е. сроки реализации программы не соответствуют плановому утверждаемому периоду.  </w:t>
      </w:r>
      <w:r w:rsidR="007A0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изложенного КСК предлагает учесть данное замечание при рассмотрении проекта решения.</w:t>
      </w:r>
    </w:p>
    <w:p w:rsidR="00865813" w:rsidRPr="00F7307E" w:rsidRDefault="00865813" w:rsidP="00F7307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2C2F" w:rsidRPr="00F7307E" w:rsidRDefault="007D2C2F" w:rsidP="00C46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7"/>
        <w:gridCol w:w="2944"/>
        <w:gridCol w:w="1730"/>
        <w:gridCol w:w="1062"/>
        <w:gridCol w:w="1486"/>
        <w:gridCol w:w="1485"/>
      </w:tblGrid>
      <w:tr w:rsidR="007662D8" w:rsidRPr="007662D8" w:rsidTr="0045646C">
        <w:trPr>
          <w:trHeight w:val="336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Код раздела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2F" w:rsidRPr="007662D8" w:rsidRDefault="007D2C2F" w:rsidP="00456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расходов               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2F" w:rsidRPr="007662D8" w:rsidRDefault="007D2C2F" w:rsidP="007C6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финансирования, предусмотренный проектом решения о бюджете на 20</w:t>
            </w:r>
            <w:r w:rsidR="007C6C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год, тыс. руб.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т. ч. на программы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вес в общем объеме финансирования программ, 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вес программных мероприятий в общем объеме финансирования раздела,%</w:t>
            </w:r>
          </w:p>
        </w:tc>
      </w:tr>
      <w:tr w:rsidR="007662D8" w:rsidRPr="007662D8" w:rsidTr="0045646C">
        <w:trPr>
          <w:trHeight w:val="46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ОБЩЕГОСУДАРСТВЕННЫЕ ВОПРОСЫ                         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7D117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200936,5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4428DC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237,0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0,12</w:t>
            </w:r>
          </w:p>
        </w:tc>
      </w:tr>
      <w:tr w:rsidR="007662D8" w:rsidRPr="007662D8" w:rsidTr="0045646C">
        <w:trPr>
          <w:trHeight w:val="797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БЕЗОПАСНОСТЬ И ПРАВООХРАНИТЕЛЬНАЯ  ДЕЯТЕЛЬНОСТЬ                                        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B34615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9109,0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4428DC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0,32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43,91</w:t>
            </w:r>
          </w:p>
        </w:tc>
      </w:tr>
      <w:tr w:rsidR="007662D8" w:rsidRPr="007662D8" w:rsidTr="0045646C">
        <w:trPr>
          <w:trHeight w:val="204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ЭКОНОМИКА                              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0428FD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76367,9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4428DC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68035,9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5,53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89,09</w:t>
            </w:r>
          </w:p>
        </w:tc>
      </w:tr>
      <w:tr w:rsidR="007662D8" w:rsidRPr="007662D8" w:rsidTr="0045646C">
        <w:trPr>
          <w:trHeight w:val="418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ЖИЛИЩНО-КОММУНАЛЬНОЕ ХОЗЯЙСТВО                      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9D7911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83143,5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ED5143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55907,0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4,55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67,24</w:t>
            </w:r>
          </w:p>
        </w:tc>
      </w:tr>
      <w:tr w:rsidR="007662D8" w:rsidRPr="007662D8" w:rsidTr="0045646C">
        <w:trPr>
          <w:trHeight w:val="257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ОБРАЗОВАНИЕ                                         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9D7911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964571,1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ED5143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963687,0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78,38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99,91</w:t>
            </w:r>
          </w:p>
        </w:tc>
      </w:tr>
      <w:tr w:rsidR="007662D8" w:rsidRPr="007662D8" w:rsidTr="0045646C">
        <w:trPr>
          <w:trHeight w:val="216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9D7911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79925,3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AB5599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79725,3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6,48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99,75</w:t>
            </w:r>
          </w:p>
        </w:tc>
      </w:tr>
      <w:tr w:rsidR="007662D8" w:rsidRPr="007662D8" w:rsidTr="0045646C">
        <w:trPr>
          <w:trHeight w:val="242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СОЦИАЛЬНАЯ ПОЛИТИКА                                 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9D7911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99976,2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970193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662D8" w:rsidRPr="007662D8" w:rsidTr="0045646C">
        <w:trPr>
          <w:trHeight w:val="37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ФИЗИЧЕСКАЯ КУЛЬТУРА И СПОРТ                        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9D7911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57863,8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970193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57863,8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4,71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7662D8" w:rsidRPr="007662D8" w:rsidTr="0045646C"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9D7911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2142,6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970193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1E3DD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662D8" w:rsidRPr="007662D8" w:rsidTr="0045646C"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9D7911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970193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1E3DD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662D8" w:rsidRPr="007662D8" w:rsidTr="0045646C">
        <w:trPr>
          <w:trHeight w:val="257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9D7911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1577535,9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970193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1229456,0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C54F9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1E3DD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77,93</w:t>
            </w:r>
          </w:p>
        </w:tc>
      </w:tr>
    </w:tbl>
    <w:p w:rsidR="007D2C2F" w:rsidRPr="007662D8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2D5F2E" w:rsidRDefault="007D2C2F" w:rsidP="007D2C2F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F2E" w:rsidRPr="002D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предусмотренного на 20</w:t>
      </w:r>
      <w:r w:rsidR="00233C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D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финансирования муниципальных и ведомственных целевых программ по разделам функциональной классификации показал, что наибольший удельный вес в общем объеме финансирования программ приходится на раздел «Образование» (7</w:t>
      </w:r>
      <w:r w:rsidR="00233C3B">
        <w:rPr>
          <w:rFonts w:ascii="Times New Roman" w:eastAsia="Times New Roman" w:hAnsi="Times New Roman" w:cs="Times New Roman"/>
          <w:sz w:val="24"/>
          <w:szCs w:val="24"/>
          <w:lang w:eastAsia="ru-RU"/>
        </w:rPr>
        <w:t>8,38%).</w:t>
      </w:r>
    </w:p>
    <w:p w:rsidR="007D2C2F" w:rsidRPr="00AC24F7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D37FE5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бюджета городского округа на 20</w:t>
      </w:r>
      <w:r w:rsidR="00F6207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классификации расходов бюджета прогнозируется в следующих объемах:</w:t>
      </w:r>
    </w:p>
    <w:p w:rsidR="007D2C2F" w:rsidRPr="00D37FE5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F" w:rsidRPr="00D37FE5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D37FE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«Общегосударственные вопросы»</w:t>
      </w:r>
    </w:p>
    <w:p w:rsidR="007D2C2F" w:rsidRPr="00D37FE5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7D2C2F" w:rsidRPr="00D37FE5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проекте решения, расходы городского бюджета, по разделу «Общ</w:t>
      </w:r>
      <w:r w:rsidR="006443D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егосударственные вопросы», в 2020</w:t>
      </w:r>
      <w:r w:rsidRPr="00D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 планируются в сумме </w:t>
      </w:r>
      <w:r w:rsidR="0064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200936,5 </w:t>
      </w:r>
      <w:r w:rsidRPr="00D37FE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(рост</w:t>
      </w:r>
      <w:r w:rsidR="005D4F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сравнению с предыдущим годом</w:t>
      </w:r>
      <w:r w:rsidR="005D4F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4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8054,0 </w:t>
      </w:r>
      <w:r w:rsidRPr="00D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рублей). </w:t>
      </w:r>
    </w:p>
    <w:p w:rsidR="007D2C2F" w:rsidRPr="00AC24F7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 wp14:anchorId="5AD306C7" wp14:editId="6CB7DAE1">
            <wp:extent cx="5495925" cy="3209925"/>
            <wp:effectExtent l="0" t="0" r="9525" b="952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2C2F" w:rsidRPr="00AC24F7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A560A9" w:rsidRDefault="007D2C2F" w:rsidP="007D2C2F">
      <w:pPr>
        <w:tabs>
          <w:tab w:val="left" w:pos="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указанных расходов в общем объеме расходов  бюджета</w:t>
      </w:r>
      <w:r w:rsidR="008D73EF"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</w:t>
      </w:r>
      <w:r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8D73EF"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11F8"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A560A9"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>12,</w:t>
      </w:r>
      <w:r w:rsidR="00904460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C911F8"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202</w:t>
      </w:r>
      <w:r w:rsidR="009044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1</w:t>
      </w:r>
      <w:r w:rsidR="00904460">
        <w:rPr>
          <w:rFonts w:ascii="Times New Roman" w:eastAsia="Times New Roman" w:hAnsi="Times New Roman" w:cs="Times New Roman"/>
          <w:sz w:val="24"/>
          <w:szCs w:val="24"/>
          <w:lang w:eastAsia="ru-RU"/>
        </w:rPr>
        <w:t>0,49</w:t>
      </w:r>
      <w:r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202</w:t>
      </w:r>
      <w:r w:rsidR="009044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1</w:t>
      </w:r>
      <w:r w:rsidR="009044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60A9"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4460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7D2C2F" w:rsidRPr="00877C9D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Наибольшую долю в разделе занимают расходы по подразделу 0113 "Другие</w:t>
      </w:r>
      <w:r w:rsidR="00783FB3" w:rsidRPr="008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общегосударственные вопросы"- 6</w:t>
      </w:r>
      <w:r w:rsidR="00877C9D" w:rsidRPr="00877C9D">
        <w:rPr>
          <w:rFonts w:ascii="Times New Roman" w:eastAsia="Times New Roman" w:hAnsi="Times New Roman" w:cs="Times New Roman"/>
          <w:sz w:val="24"/>
          <w:szCs w:val="24"/>
          <w:lang w:eastAsia="ru-RU"/>
        </w:rPr>
        <w:t>8,12</w:t>
      </w:r>
      <w:r w:rsidRPr="00877C9D">
        <w:rPr>
          <w:rFonts w:ascii="Times New Roman" w:eastAsia="Times New Roman" w:hAnsi="Times New Roman" w:cs="Times New Roman"/>
          <w:sz w:val="24"/>
          <w:szCs w:val="24"/>
          <w:lang w:eastAsia="ru-RU"/>
        </w:rPr>
        <w:t>% .</w:t>
      </w:r>
    </w:p>
    <w:p w:rsidR="007D2C2F" w:rsidRPr="00877C9D" w:rsidRDefault="007D2C2F" w:rsidP="007D2C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F" w:rsidRPr="00783FB3" w:rsidRDefault="007D2C2F" w:rsidP="007D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расходов бюджета по разделу «Общегосударственные вопросы»</w:t>
      </w:r>
    </w:p>
    <w:p w:rsidR="007D2C2F" w:rsidRPr="00AC24F7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 wp14:anchorId="6B7F7A02" wp14:editId="147898CA">
            <wp:extent cx="5724525" cy="5848350"/>
            <wp:effectExtent l="0" t="0" r="9525" b="1905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2C2F" w:rsidRPr="00AC24F7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236CEC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proofErr w:type="gramStart"/>
      <w:r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органов местного самоуправления городского округа определены в пределах норматива, предусмотренного постановлением Правительства Волгоградской области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</w:t>
      </w:r>
      <w:r w:rsidR="00A76E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  <w:r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36CEC">
        <w:rPr>
          <w:rFonts w:ascii="Times New Roman" w:hAnsi="Times New Roman" w:cs="Times New Roman"/>
          <w:sz w:val="24"/>
          <w:szCs w:val="24"/>
        </w:rPr>
        <w:t>асходы на содержание представительного органа местного самоуправления и контрольно-счетного органа в совокупности в объеме, не превышают 7 процентов норматива на содержание органов местного самоуправления.</w:t>
      </w:r>
    </w:p>
    <w:p w:rsidR="00D6723E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подразделу </w:t>
      </w:r>
      <w:r w:rsidRPr="00236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0102 "Функционирование высшего должностного лица субъекта Российской Федерации и муниципального образования"</w:t>
      </w:r>
      <w:r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на содержание Главы городского округа город Михайловка в сумме  </w:t>
      </w:r>
      <w:r w:rsidR="00A75AB7">
        <w:rPr>
          <w:rFonts w:ascii="Times New Roman" w:eastAsia="Times New Roman" w:hAnsi="Times New Roman" w:cs="Times New Roman"/>
          <w:sz w:val="24"/>
          <w:szCs w:val="24"/>
          <w:lang w:eastAsia="ru-RU"/>
        </w:rPr>
        <w:t>1757,7</w:t>
      </w:r>
      <w:r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B7">
        <w:rPr>
          <w:rFonts w:ascii="Times New Roman" w:eastAsia="Times New Roman" w:hAnsi="Times New Roman" w:cs="Times New Roman"/>
          <w:sz w:val="24"/>
          <w:szCs w:val="24"/>
          <w:lang w:eastAsia="ru-RU"/>
        </w:rPr>
        <w:t>(+44,5</w:t>
      </w:r>
      <w:r w:rsidR="000C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D67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C2F" w:rsidRPr="00BD2F5B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подразделу</w:t>
      </w:r>
      <w:r w:rsidRPr="00BD2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0103 "Функционирование законодательных (представительных) органов государственной власти и представительных органов муниципальных образований" </w:t>
      </w:r>
      <w:r w:rsidRPr="00BD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бюджетные ассигнования на содержание Михайловской городской  Думы в сумме </w:t>
      </w:r>
      <w:r w:rsidR="003B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1995,0 </w:t>
      </w:r>
      <w:r w:rsidRPr="00BD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B34C6">
        <w:rPr>
          <w:rFonts w:ascii="Times New Roman" w:eastAsia="Times New Roman" w:hAnsi="Times New Roman" w:cs="Times New Roman"/>
          <w:sz w:val="24"/>
          <w:szCs w:val="24"/>
          <w:lang w:eastAsia="ru-RU"/>
        </w:rPr>
        <w:t>+222,5</w:t>
      </w:r>
      <w:r w:rsidR="000C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D2F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D2F5B" w:rsidRPr="00BD2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C2F" w:rsidRPr="00A30AAC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 подразделу </w:t>
      </w:r>
      <w:r w:rsidRPr="00A30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  <w:r w:rsidRPr="00A3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на содержание  аппарата администрации в сумме </w:t>
      </w:r>
      <w:r w:rsidR="00A30AAC" w:rsidRPr="00A3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50535,0 </w:t>
      </w:r>
      <w:r w:rsidR="000E3E82" w:rsidRPr="00A3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A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в 20</w:t>
      </w:r>
      <w:r w:rsidR="00A30AAC" w:rsidRPr="00A30A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3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</w:t>
      </w:r>
      <w:r w:rsidR="00A30AAC" w:rsidRPr="00A30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3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30AAC" w:rsidRPr="00A30A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3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планировались расходы в  сумме  </w:t>
      </w:r>
      <w:r w:rsidR="00A30AAC" w:rsidRPr="00A30AAC">
        <w:rPr>
          <w:rFonts w:ascii="Times New Roman" w:eastAsia="Times New Roman" w:hAnsi="Times New Roman" w:cs="Times New Roman"/>
          <w:sz w:val="24"/>
          <w:szCs w:val="24"/>
          <w:lang w:eastAsia="ru-RU"/>
        </w:rPr>
        <w:t>46005,0</w:t>
      </w:r>
      <w:r w:rsidR="000E3E82" w:rsidRPr="00A3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тыс. рублей).</w:t>
      </w:r>
    </w:p>
    <w:p w:rsidR="007D2C2F" w:rsidRPr="00D116E5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подразделу </w:t>
      </w:r>
      <w:r w:rsidRPr="00D11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0106 "Обеспечение деятельности финансовых, налоговых и таможенных органов и органов финансового (финансово-бюджетного) надзора" </w:t>
      </w:r>
      <w:r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в сумме </w:t>
      </w:r>
      <w:r w:rsidR="00A30AAC"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9258,9 (+37,8) </w:t>
      </w:r>
      <w:r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</w:t>
      </w:r>
      <w:r w:rsidR="00A30AAC"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в том числе:</w:t>
      </w:r>
    </w:p>
    <w:p w:rsidR="007D2C2F" w:rsidRPr="00D116E5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 на содержание </w:t>
      </w:r>
      <w:r w:rsidR="00A65E04"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отдела </w:t>
      </w:r>
      <w:r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</w:t>
      </w:r>
      <w:r w:rsidR="00A65E04"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D116E5"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>7422,5 (-91,8)</w:t>
      </w:r>
      <w:r w:rsidR="00266F5B"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7D2C2F" w:rsidRPr="00D116E5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 на содержание контрольно-счетной комиссии городского округа </w:t>
      </w:r>
      <w:r w:rsidR="00A65E04"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D116E5"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1836,4 </w:t>
      </w:r>
      <w:r w:rsidR="00266F5B"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16E5"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>+129,6</w:t>
      </w:r>
      <w:r w:rsidR="00266F5B"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D2C2F" w:rsidRPr="00D116E5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подразделу </w:t>
      </w:r>
      <w:r w:rsidRPr="00D11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0111 «Резервный фонд»</w:t>
      </w:r>
      <w:r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резервный фонд запланирован в сумме по 500,0 тыс. рублей на каждый финансовый год</w:t>
      </w:r>
      <w:r w:rsidR="00370B57"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не превышает ограничения, установленные </w:t>
      </w:r>
      <w:r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3 ст. 81 БК РФ.</w:t>
      </w:r>
    </w:p>
    <w:p w:rsidR="007D2C2F" w:rsidRPr="003D0D76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подразделу </w:t>
      </w:r>
      <w:r w:rsidRPr="00D11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0113 «Другие </w:t>
      </w:r>
      <w:r w:rsidRPr="003D0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общегосударственные вопросы»</w:t>
      </w:r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</w:t>
      </w:r>
      <w:r w:rsidR="006F3A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F3A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</w:t>
      </w:r>
      <w:r w:rsidR="00C46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увеличены, по сравнению с 201</w:t>
      </w:r>
      <w:r w:rsidR="006F3A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годом, на </w:t>
      </w:r>
      <w:r w:rsidR="006F3A3D">
        <w:rPr>
          <w:rFonts w:ascii="Times New Roman" w:eastAsia="Times New Roman" w:hAnsi="Times New Roman" w:cs="Times New Roman"/>
          <w:sz w:val="24"/>
          <w:szCs w:val="24"/>
          <w:lang w:eastAsia="ru-RU"/>
        </w:rPr>
        <w:t>3219,2</w:t>
      </w:r>
      <w:r w:rsidR="00C4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 составили  </w:t>
      </w:r>
      <w:r w:rsidR="007C1DE3"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A3D">
        <w:rPr>
          <w:rFonts w:ascii="Times New Roman" w:eastAsia="Times New Roman" w:hAnsi="Times New Roman" w:cs="Times New Roman"/>
          <w:sz w:val="24"/>
          <w:szCs w:val="24"/>
          <w:lang w:eastAsia="ru-RU"/>
        </w:rPr>
        <w:t>36889,9</w:t>
      </w:r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</w:t>
      </w:r>
      <w:r w:rsidR="006F3A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="006F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127614,0 </w:t>
      </w:r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на 20</w:t>
      </w:r>
      <w:r w:rsidR="007C1DE3"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3A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и </w:t>
      </w:r>
      <w:r w:rsidR="006F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129783,5 </w:t>
      </w:r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на 20</w:t>
      </w:r>
      <w:r w:rsidR="007C1DE3"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3A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proofErr w:type="gramStart"/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ч.: </w:t>
      </w:r>
    </w:p>
    <w:p w:rsidR="007D2C2F" w:rsidRPr="00F65E51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содержание отделов сельских территорий в сумме </w:t>
      </w:r>
      <w:r w:rsidR="0026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14465,1 </w:t>
      </w:r>
      <w:r w:rsidR="00C83990"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654FD">
        <w:rPr>
          <w:rFonts w:ascii="Times New Roman" w:eastAsia="Times New Roman" w:hAnsi="Times New Roman" w:cs="Times New Roman"/>
          <w:sz w:val="24"/>
          <w:szCs w:val="24"/>
          <w:lang w:eastAsia="ru-RU"/>
        </w:rPr>
        <w:t>-979,7</w:t>
      </w:r>
      <w:r w:rsidR="00C83990"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D2C2F" w:rsidRPr="00F65E51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государственных полномочий по регистрации актов гражданского состояния за счет средств субвенции из федерального бюджета в сумме</w:t>
      </w:r>
      <w:proofErr w:type="gramEnd"/>
      <w:r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5036,2 </w:t>
      </w:r>
      <w:r w:rsidR="00F65E51"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>(+</w:t>
      </w:r>
      <w:r w:rsidR="002654FD">
        <w:rPr>
          <w:rFonts w:ascii="Times New Roman" w:eastAsia="Times New Roman" w:hAnsi="Times New Roman" w:cs="Times New Roman"/>
          <w:sz w:val="24"/>
          <w:szCs w:val="24"/>
          <w:lang w:eastAsia="ru-RU"/>
        </w:rPr>
        <w:t>456,0</w:t>
      </w:r>
      <w:r w:rsidR="00F65E51"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7D2C2F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казенного учреждения по обеспечению хозяйственного обслуживания «Технический центр» в сумме</w:t>
      </w:r>
      <w:r w:rsidR="00F65E51"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</w:t>
      </w:r>
      <w:r w:rsidR="00D82F63">
        <w:rPr>
          <w:rFonts w:ascii="Times New Roman" w:eastAsia="Times New Roman" w:hAnsi="Times New Roman" w:cs="Times New Roman"/>
          <w:sz w:val="24"/>
          <w:szCs w:val="24"/>
          <w:lang w:eastAsia="ru-RU"/>
        </w:rPr>
        <w:t>174,2 (+174,2</w:t>
      </w:r>
      <w:r w:rsidR="00F65E51"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F65E51" w:rsidRPr="00F65E51" w:rsidRDefault="00F65E51" w:rsidP="00F6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предоставление субсидии муниципальному автономному учреждению «Центр градостроительства и землеустройства» на финансовое обеспечение выполнения муниципального задания </w:t>
      </w:r>
      <w:r w:rsidR="00D82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8000,0 (-2000,0)</w:t>
      </w: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F65E51" w:rsidRPr="00F65E51" w:rsidRDefault="00F65E51" w:rsidP="00F6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развитию муниципальной службы в сумме </w:t>
      </w:r>
      <w:r w:rsidR="00861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37,0 (+17,0)</w:t>
      </w: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F65E51" w:rsidRPr="00F65E51" w:rsidRDefault="00B301C3" w:rsidP="00F6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оценку недвижимости в сумме 5</w:t>
      </w:r>
      <w:r w:rsidR="00F65E51"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(-300,0) </w:t>
      </w:r>
      <w:r w:rsidR="00F65E51"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F65E51" w:rsidRPr="00F65E51" w:rsidRDefault="00F65E51" w:rsidP="00F6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содержание муниципального казенного учреждения «Центр информационно-коммуникационных технологий" в сумме </w:t>
      </w:r>
      <w:r w:rsidR="00B3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4407,0 (+916,7) </w:t>
      </w:r>
      <w:r w:rsidR="00D6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F65E51" w:rsidRPr="00F65E51" w:rsidRDefault="00F65E51" w:rsidP="00F6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содержание муниципального казенного учреждения МКУ «Центр финансово-бухгалтерского обслуживания» в сумме </w:t>
      </w:r>
      <w:r w:rsidR="00F47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26710,0 (+2210,0) </w:t>
      </w:r>
      <w:r w:rsidR="00D6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F65E51" w:rsidRPr="00F65E51" w:rsidRDefault="00F65E51" w:rsidP="00F6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содержание муниципального казенного учреждения МКУ «Центр муниципальных закупок» в сумме </w:t>
      </w:r>
      <w:r w:rsidR="00000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6110,0 (-239,1)</w:t>
      </w:r>
      <w:r w:rsidR="00D6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F65E51" w:rsidRPr="00F65E51" w:rsidRDefault="00F65E51" w:rsidP="00F6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других обязательств органов местного самоуправления городского округа </w:t>
      </w:r>
      <w:r w:rsidR="00000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4661,0 </w:t>
      </w:r>
      <w:r w:rsidR="00D7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(+</w:t>
      </w:r>
      <w:r w:rsidR="00000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1310,2</w:t>
      </w:r>
      <w:r w:rsidR="00D7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 (оплата по исполнительным листам, оплата коммунальных услуг и содержание зданий и помещений, числящихся в казне городского округа, цветы, ценные подарки и выплаты к награждениям Почетными грамотами главы городского округа);</w:t>
      </w:r>
    </w:p>
    <w:p w:rsidR="0048343E" w:rsidRDefault="0048343E" w:rsidP="00F65E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48343E">
        <w:rPr>
          <w:rFonts w:ascii="Times New Roman" w:hAnsi="Times New Roman" w:cs="Times New Roman"/>
          <w:szCs w:val="28"/>
        </w:rPr>
        <w:t xml:space="preserve">на выполнение передаваемых государственных полномочий по </w:t>
      </w:r>
      <w:r w:rsidRPr="0048343E">
        <w:rPr>
          <w:rFonts w:ascii="Times New Roman" w:hAnsi="Times New Roman" w:cs="Times New Roman"/>
          <w:color w:val="000000"/>
          <w:szCs w:val="28"/>
        </w:rPr>
        <w:t xml:space="preserve">обеспечению деятельности комиссии по делам несовершеннолетних </w:t>
      </w:r>
      <w:r w:rsidR="00984541">
        <w:rPr>
          <w:rFonts w:ascii="Times New Roman" w:hAnsi="Times New Roman" w:cs="Times New Roman"/>
          <w:color w:val="000000"/>
          <w:szCs w:val="28"/>
        </w:rPr>
        <w:t>895,8 (+7,1)</w:t>
      </w:r>
      <w:r w:rsidRPr="0048343E">
        <w:rPr>
          <w:rFonts w:ascii="Times New Roman" w:hAnsi="Times New Roman" w:cs="Times New Roman"/>
          <w:color w:val="000000"/>
          <w:szCs w:val="28"/>
        </w:rPr>
        <w:t xml:space="preserve"> тыс. рублей,  административной комиссии </w:t>
      </w:r>
      <w:r w:rsidR="002816E1">
        <w:rPr>
          <w:rFonts w:ascii="Times New Roman" w:hAnsi="Times New Roman" w:cs="Times New Roman"/>
          <w:color w:val="000000"/>
          <w:szCs w:val="28"/>
        </w:rPr>
        <w:t xml:space="preserve">664,4 (-1,7) </w:t>
      </w:r>
      <w:r w:rsidRPr="0048343E">
        <w:rPr>
          <w:rFonts w:ascii="Times New Roman" w:hAnsi="Times New Roman" w:cs="Times New Roman"/>
          <w:color w:val="000000"/>
          <w:szCs w:val="28"/>
        </w:rPr>
        <w:t xml:space="preserve"> тыс. рублей, хранение, комплектование и учет архивного фонда Волгоградской области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8F7BDE">
        <w:rPr>
          <w:rFonts w:ascii="Times New Roman" w:hAnsi="Times New Roman" w:cs="Times New Roman"/>
          <w:color w:val="000000"/>
          <w:szCs w:val="28"/>
        </w:rPr>
        <w:t xml:space="preserve"> </w:t>
      </w:r>
      <w:r w:rsidR="00E835C0">
        <w:rPr>
          <w:rFonts w:ascii="Times New Roman" w:hAnsi="Times New Roman" w:cs="Times New Roman"/>
          <w:color w:val="000000"/>
          <w:szCs w:val="28"/>
        </w:rPr>
        <w:t>582,5 (+1,8) тыс. рублей;</w:t>
      </w:r>
    </w:p>
    <w:p w:rsidR="00E835C0" w:rsidRPr="00E835C0" w:rsidRDefault="00E835C0" w:rsidP="00E835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5797C">
        <w:rPr>
          <w:rFonts w:ascii="Times New Roman" w:eastAsia="Times New Roman" w:hAnsi="Times New Roman" w:cs="Times New Roman"/>
          <w:lang w:eastAsia="ru-RU"/>
        </w:rPr>
        <w:t>на реализацию мероприятий муниципальной программы по информатизации администрации в сумме 200,0 тыс. рублей;</w:t>
      </w:r>
    </w:p>
    <w:p w:rsidR="00E835C0" w:rsidRPr="0045797C" w:rsidRDefault="00E835C0" w:rsidP="00E835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7C">
        <w:rPr>
          <w:rFonts w:ascii="Times New Roman" w:eastAsia="Times New Roman" w:hAnsi="Times New Roman" w:cs="Times New Roman"/>
          <w:color w:val="000000"/>
          <w:lang w:eastAsia="ru-RU"/>
        </w:rPr>
        <w:t>на проведение Всероссийской переписи населения 2020 года в сумме 1386,3 тыс. рублей;</w:t>
      </w:r>
    </w:p>
    <w:p w:rsidR="00E835C0" w:rsidRPr="0045797C" w:rsidRDefault="00E835C0" w:rsidP="00E835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7C">
        <w:rPr>
          <w:rFonts w:ascii="Times New Roman" w:eastAsia="Times New Roman" w:hAnsi="Times New Roman" w:cs="Times New Roman"/>
          <w:color w:val="000000"/>
          <w:lang w:eastAsia="ru-RU"/>
        </w:rPr>
        <w:t>на составление (изменение) списков кандидатов в присяжные заседатели федеральных судов общей юрисдикции в Российской Федерации в сумме 60,4 тыс. рублей.</w:t>
      </w:r>
    </w:p>
    <w:p w:rsidR="00E835C0" w:rsidRPr="00F65E51" w:rsidRDefault="00E835C0" w:rsidP="00F6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DAF" w:rsidRPr="00B55DC7" w:rsidRDefault="00EC4DAF" w:rsidP="00EC4D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5D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Частью 3 статьи 184.1 Бюджетного кодекса РФ определено, что </w:t>
      </w:r>
      <w:r w:rsidRPr="00B55DC7">
        <w:rPr>
          <w:rFonts w:ascii="Times New Roman" w:eastAsia="Calibri" w:hAnsi="Times New Roman" w:cs="Times New Roman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proofErr w:type="gramEnd"/>
      <w:r w:rsidRPr="00B55DC7">
        <w:rPr>
          <w:rFonts w:ascii="Times New Roman" w:eastAsia="Calibri" w:hAnsi="Times New Roman" w:cs="Times New Roman"/>
          <w:sz w:val="24"/>
          <w:szCs w:val="24"/>
        </w:rPr>
        <w:t>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EC4DAF" w:rsidRPr="003C399D" w:rsidRDefault="00EC4DAF" w:rsidP="00EC4D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утвержденные расходы  бюджета в проекте бюджета предусматриваются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7580,0</w:t>
      </w:r>
      <w:r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2,5 % общей суммы расходов, без учета межбюджетных трансфертов, имеющих целевое назначение,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35563,7</w:t>
      </w:r>
      <w:r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5,0 %.   </w:t>
      </w:r>
    </w:p>
    <w:p w:rsidR="007D2C2F" w:rsidRPr="00AC24F7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ru-RU"/>
        </w:rPr>
      </w:pPr>
    </w:p>
    <w:p w:rsidR="007D2C2F" w:rsidRPr="001C1B69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1C1B6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«Национальная безопасность и правоохранительная деятельность»</w:t>
      </w:r>
    </w:p>
    <w:p w:rsidR="007D2C2F" w:rsidRPr="001C1B69" w:rsidRDefault="007D2C2F" w:rsidP="007D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1C1B69" w:rsidRDefault="001C1B69" w:rsidP="007D2C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</w:t>
      </w:r>
      <w:r w:rsidR="007D2C2F" w:rsidRPr="001C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разделу «Национальная безопасность и п</w:t>
      </w:r>
      <w:r w:rsidRPr="001C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равоохранительная деятельность», в целом,  по сравнению с 201</w:t>
      </w:r>
      <w:r w:rsidR="006122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C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годом, планируется снижение расходов  на </w:t>
      </w:r>
      <w:r w:rsidR="0061227A">
        <w:rPr>
          <w:rFonts w:ascii="Times New Roman" w:eastAsia="Times New Roman" w:hAnsi="Times New Roman" w:cs="Times New Roman"/>
          <w:sz w:val="24"/>
          <w:szCs w:val="24"/>
          <w:lang w:eastAsia="ru-RU"/>
        </w:rPr>
        <w:t>3393,8</w:t>
      </w:r>
      <w:r w:rsidRPr="001C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C2F" w:rsidRPr="001C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</w:t>
      </w:r>
      <w:r w:rsidRPr="001C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в 20</w:t>
      </w:r>
      <w:r w:rsidR="0061227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C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</w:t>
      </w:r>
      <w:r w:rsidR="006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9109,0 </w:t>
      </w:r>
      <w:r w:rsidRPr="001C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рублей. </w:t>
      </w:r>
    </w:p>
    <w:p w:rsidR="007D2C2F" w:rsidRPr="00AC24F7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6DCF019E" wp14:editId="397DF89E">
            <wp:extent cx="5495925" cy="3209925"/>
            <wp:effectExtent l="0" t="0" r="9525" b="9525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2C2F" w:rsidRPr="00AC24F7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E338EB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E33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0309</w:t>
      </w: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«Защита населения и территории от чрезвычайных ситуаций природного и техногенного характера, гражданская оборона» </w:t>
      </w: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1C1B69"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бюджетные ассигнования на 20</w:t>
      </w:r>
      <w:r w:rsidR="00114D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сумме </w:t>
      </w:r>
      <w:r w:rsidR="00114DC1">
        <w:rPr>
          <w:rFonts w:ascii="Times New Roman" w:eastAsia="Times New Roman" w:hAnsi="Times New Roman" w:cs="Times New Roman"/>
          <w:sz w:val="24"/>
          <w:szCs w:val="24"/>
          <w:lang w:eastAsia="ru-RU"/>
        </w:rPr>
        <w:t>3472,0 (-2655,8)</w:t>
      </w:r>
      <w:r w:rsidR="009432AA"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в рамках программы  «Обеспечение безопасности жизнедеятельности населения городского округа город Михайловка Волгоградской области на 20</w:t>
      </w:r>
      <w:r w:rsidR="00114DC1">
        <w:rPr>
          <w:rFonts w:ascii="Times New Roman" w:eastAsia="Times New Roman" w:hAnsi="Times New Roman" w:cs="Times New Roman"/>
          <w:sz w:val="24"/>
          <w:szCs w:val="24"/>
          <w:lang w:eastAsia="ru-RU"/>
        </w:rPr>
        <w:t>20-2022</w:t>
      </w: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7D2C2F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</w:t>
      </w:r>
      <w:r w:rsidRPr="00E33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подразделу 0314 «Другие вопросы в области национальной безопасности и правоохранительной деятельности»</w:t>
      </w: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предусмотрены расходы в сумме </w:t>
      </w:r>
      <w:r w:rsidR="009432AA"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349">
        <w:rPr>
          <w:rFonts w:ascii="Times New Roman" w:eastAsia="Times New Roman" w:hAnsi="Times New Roman" w:cs="Times New Roman"/>
          <w:sz w:val="24"/>
          <w:szCs w:val="24"/>
          <w:lang w:eastAsia="ru-RU"/>
        </w:rPr>
        <w:t>5637,0 (-738,0)</w:t>
      </w:r>
      <w:r w:rsidR="009432AA"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рублей:</w:t>
      </w:r>
    </w:p>
    <w:p w:rsidR="00922349" w:rsidRPr="00922349" w:rsidRDefault="00922349" w:rsidP="009223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содержание муниципального казенного учреждения по выполнению функций единой диспетчерской службы (МКУ «ЕДДС») в сумме  4659,0</w:t>
      </w:r>
      <w:r w:rsidRPr="0092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(-798,6) тыс. рублей;</w:t>
      </w:r>
    </w:p>
    <w:p w:rsidR="007D2C2F" w:rsidRPr="00922349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на реализацию мероприятий муниципальной программы «Обеспечение безопасности жизнедеятельности населения городского округа город Михайловка Волгоградской области на 20</w:t>
      </w:r>
      <w:r w:rsidR="00922349" w:rsidRPr="009223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223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22349" w:rsidRPr="0092234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2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предусмотрены расходы  в сумме  </w:t>
      </w:r>
      <w:r w:rsidR="00922349" w:rsidRPr="00922349">
        <w:rPr>
          <w:rFonts w:ascii="Times New Roman" w:eastAsia="Times New Roman" w:hAnsi="Times New Roman" w:cs="Times New Roman"/>
          <w:sz w:val="24"/>
          <w:szCs w:val="24"/>
          <w:lang w:eastAsia="ru-RU"/>
        </w:rPr>
        <w:t>528,0</w:t>
      </w:r>
      <w:r w:rsidR="009432AA" w:rsidRPr="0092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349" w:rsidRPr="00922349">
        <w:rPr>
          <w:rFonts w:ascii="Times New Roman" w:eastAsia="Times New Roman" w:hAnsi="Times New Roman" w:cs="Times New Roman"/>
          <w:sz w:val="24"/>
          <w:szCs w:val="24"/>
          <w:lang w:eastAsia="ru-RU"/>
        </w:rPr>
        <w:t>(+310,6</w:t>
      </w:r>
      <w:r w:rsidR="00E338EB" w:rsidRPr="009223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32AA" w:rsidRPr="0092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D2C2F" w:rsidRPr="009432AA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выплаты денежных поощрений народной дружине в сумме</w:t>
      </w:r>
      <w:r w:rsidR="0092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450,0 (-250,0)</w:t>
      </w:r>
      <w:r w:rsidR="0099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D2C2F" w:rsidRPr="00AC24F7" w:rsidRDefault="007D2C2F" w:rsidP="007D2C2F">
      <w:pPr>
        <w:keepNext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ru-RU"/>
        </w:rPr>
      </w:pPr>
    </w:p>
    <w:p w:rsidR="007D2C2F" w:rsidRPr="006178E2" w:rsidRDefault="007D2C2F" w:rsidP="007D2C2F">
      <w:pPr>
        <w:keepNext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178E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«Национальная экономика»</w:t>
      </w:r>
    </w:p>
    <w:p w:rsidR="007D2C2F" w:rsidRPr="006178E2" w:rsidRDefault="007D2C2F" w:rsidP="007D2C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6DA" w:rsidRDefault="007D2C2F" w:rsidP="007D2C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Расходы по данному разделу в проекте бюджета на 20</w:t>
      </w:r>
      <w:r w:rsidR="00C476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1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размере  </w:t>
      </w:r>
      <w:r w:rsidR="006178E2" w:rsidRPr="0061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6DA">
        <w:rPr>
          <w:rFonts w:ascii="Times New Roman" w:eastAsia="Times New Roman" w:hAnsi="Times New Roman" w:cs="Times New Roman"/>
          <w:sz w:val="24"/>
          <w:szCs w:val="24"/>
          <w:lang w:eastAsia="ru-RU"/>
        </w:rPr>
        <w:t>76367,9 (-2248,1)</w:t>
      </w:r>
      <w:r w:rsidR="006178E2" w:rsidRPr="0061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 </w:t>
      </w:r>
    </w:p>
    <w:p w:rsidR="007D2C2F" w:rsidRPr="00AC24F7" w:rsidRDefault="007D2C2F" w:rsidP="007D2C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20</w:t>
      </w:r>
      <w:r w:rsidR="007A78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наибольший удельный вес</w:t>
      </w:r>
      <w:r w:rsidR="00456270" w:rsidRPr="004562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рассматриваемом разделе</w:t>
      </w:r>
      <w:r w:rsidR="00456270" w:rsidRPr="004562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расходы по подразделу «Дорожное хозяйство (дорожные фонды)» </w:t>
      </w:r>
      <w:r w:rsidR="00456270" w:rsidRPr="00456270">
        <w:rPr>
          <w:rFonts w:ascii="Times New Roman" w:eastAsia="Times New Roman" w:hAnsi="Times New Roman" w:cs="Times New Roman"/>
          <w:sz w:val="24"/>
          <w:szCs w:val="24"/>
          <w:lang w:eastAsia="ru-RU"/>
        </w:rPr>
        <w:t>- 9</w:t>
      </w:r>
      <w:r w:rsidR="007A78B5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Pr="004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7D2C2F" w:rsidRPr="00AC24F7" w:rsidRDefault="007D2C2F" w:rsidP="007D2C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</w:p>
    <w:p w:rsidR="007D2C2F" w:rsidRPr="00AC24F7" w:rsidRDefault="007D2C2F" w:rsidP="007D2C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inline distT="0" distB="0" distL="0" distR="0" wp14:anchorId="53C7902D" wp14:editId="29F2FD78">
            <wp:extent cx="5876925" cy="5076825"/>
            <wp:effectExtent l="0" t="0" r="9525" b="9525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2C2F" w:rsidRPr="00AC24F7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</w:pPr>
    </w:p>
    <w:p w:rsidR="001F79DF" w:rsidRPr="00C52C00" w:rsidRDefault="007D2C2F" w:rsidP="001F7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79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По подразделу </w:t>
      </w:r>
      <w:r w:rsidRPr="001F79D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0405 «Сельское хозяйство»</w:t>
      </w:r>
      <w:r w:rsidRPr="001F79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F79DF" w:rsidRPr="00C52C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выполнение государственных полномочий </w:t>
      </w:r>
      <w:r w:rsidR="001F79DF" w:rsidRPr="00C52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предупреждению и ликвидации болезней животных, их лечению, защиту населения от болезней, общих для человека и животных</w:t>
      </w:r>
      <w:r w:rsidR="001F79DF" w:rsidRPr="00C52C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за счет средств субвенции из областного бюджета в сумме 324,0 тыс. рублей из них</w:t>
      </w:r>
      <w:r w:rsidR="001F79DF" w:rsidRPr="00C52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F79DF" w:rsidRPr="00C52C00" w:rsidRDefault="001F79DF" w:rsidP="001F7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52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 части организации и проведения мероприятий по отлову, содержанию и содержанию животных без владельцев</w:t>
      </w:r>
      <w:r w:rsidRPr="00C52C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сумме 214,0 тыс. рублей;</w:t>
      </w:r>
    </w:p>
    <w:p w:rsidR="001F79DF" w:rsidRPr="00C52C00" w:rsidRDefault="001F79DF" w:rsidP="001F7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52C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-в части реконструкции и содержания скотомогильников (биотермических ям) в сумме 110,0 тыс. рублей;</w:t>
      </w:r>
    </w:p>
    <w:p w:rsidR="005803CF" w:rsidRPr="009947E9" w:rsidRDefault="00E41A13" w:rsidP="001F7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="007D2C2F" w:rsidRP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По </w:t>
      </w:r>
      <w:r w:rsidR="007D2C2F" w:rsidRPr="00994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подразделу </w:t>
      </w:r>
      <w:r w:rsidR="007D2C2F" w:rsidRPr="009947E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0409 «Дорожное хозяйство (дорожные фонды)»</w:t>
      </w:r>
      <w:r w:rsidR="007D2C2F" w:rsidRPr="00994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запланированы расходы в сумме</w:t>
      </w:r>
      <w:r w:rsidR="00563569" w:rsidRPr="00994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81854" w:rsidRPr="00994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71243,9</w:t>
      </w:r>
      <w:r w:rsidR="007D2C2F" w:rsidRPr="00994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709BD" w:rsidRPr="00994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(+</w:t>
      </w:r>
      <w:r w:rsidR="00A81854" w:rsidRPr="00994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426,9</w:t>
      </w:r>
      <w:r w:rsidR="008709BD" w:rsidRPr="00994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r w:rsidR="007D2C2F" w:rsidRPr="00994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тыс. рублей</w:t>
      </w:r>
      <w:r w:rsidR="00AE45D6" w:rsidRPr="00994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в </w:t>
      </w:r>
      <w:proofErr w:type="spellStart"/>
      <w:r w:rsidR="00AE45D6" w:rsidRPr="00994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т.ч</w:t>
      </w:r>
      <w:proofErr w:type="spellEnd"/>
      <w:r w:rsidR="00AE45D6" w:rsidRPr="00994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.:</w:t>
      </w:r>
      <w:r w:rsidR="007D2C2F" w:rsidRPr="00994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A81854" w:rsidRPr="00C52C00" w:rsidRDefault="00A81854" w:rsidP="00A818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52C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повышению безопасности дорожного движения в сумме 63116,6 тыс. рублей. В рамках данной программы планируются расходы </w:t>
      </w:r>
      <w:proofErr w:type="gramStart"/>
      <w:r w:rsidRPr="00C52C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</w:t>
      </w:r>
      <w:proofErr w:type="gramEnd"/>
      <w:r w:rsidRPr="00C52C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</w:p>
    <w:p w:rsidR="00A81854" w:rsidRPr="00C52C00" w:rsidRDefault="00A81854" w:rsidP="00A818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52C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-содержание автомобильных дорог сельских территорий в сумме 1000,0 тыс. рублей;</w:t>
      </w:r>
    </w:p>
    <w:p w:rsidR="00A81854" w:rsidRPr="00C52C00" w:rsidRDefault="00A81854" w:rsidP="00A818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52C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</w:t>
      </w:r>
      <w:r w:rsidRPr="00C5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автономному учреждению «Комбинат благоустройства и озеленения» субсидии на выполнение муниципального задания по содержанию и ремонту дорог в сумме 41251,6  тыс. рублей  за счет средств дорожного фонда городского округа,  </w:t>
      </w:r>
      <w:r w:rsidRPr="00C52C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формируемого за счет поступлений акцизов на автомобильный  и прямогонный бензин, дизельное топливо и моторные масла;</w:t>
      </w:r>
    </w:p>
    <w:p w:rsidR="00A81854" w:rsidRPr="00C52C00" w:rsidRDefault="00A81854" w:rsidP="00A818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52C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-устройство светофорного объекта на пересечении ул. Гоголя и ул. Коммуны за счет средств дорожного фонда в сумме 1578,0 тыс. рублей;</w:t>
      </w:r>
    </w:p>
    <w:p w:rsidR="00A81854" w:rsidRPr="00C52C00" w:rsidRDefault="00A81854" w:rsidP="00A818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2C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-содержание и  ремонт дорог городской и сельских территорий в сумме 19306,3 тыс. рублей, в том числе за счет средств субсидии из областного бюджета 19287,0 тыс. рублей;</w:t>
      </w:r>
    </w:p>
    <w:p w:rsidR="00A81854" w:rsidRPr="009947E9" w:rsidRDefault="00A81854" w:rsidP="00A818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2C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организацию освещения улично-дорожной сети населенных пунктов в сумме 8008,0 тыс. рублей, в том числе за счет средств субсидии  из областного бюджета 8000,0 тыс. рублей;</w:t>
      </w:r>
    </w:p>
    <w:p w:rsidR="00A81854" w:rsidRPr="00E36564" w:rsidRDefault="009947E9" w:rsidP="00E365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развитию транспортной инфраструктуры в сумме 100,0 тыс. рублей </w:t>
      </w:r>
      <w:r w:rsidRPr="00C52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остановочного павильона.</w:t>
      </w:r>
    </w:p>
    <w:p w:rsidR="009947E9" w:rsidRPr="00E36564" w:rsidRDefault="00130D22" w:rsidP="00994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E365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0412 «Другие вопросы в области национальной экономики»</w:t>
      </w:r>
      <w:r w:rsidRPr="00E3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расходы</w:t>
      </w:r>
      <w:r w:rsidR="009947E9" w:rsidRPr="00E3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4800,0 тыс. руб., в </w:t>
      </w:r>
      <w:proofErr w:type="spellStart"/>
      <w:r w:rsidR="009947E9" w:rsidRPr="00E3656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947E9" w:rsidRPr="00E36564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9947E9" w:rsidRPr="00C52C00" w:rsidRDefault="00130D22" w:rsidP="00994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47E9" w:rsidRPr="00C5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обновлению градостроительной документации о градостроительном планировании территорий городского округа в сумме 4500,0 тыс. рублей (разработка проекта внесения изменений в Правила землепользования и застройки городского округа, подготовка проекта внесений изменений в Генеральный план городского округа, проведение кадастровых работ по внесению сведений о границах населенных пунктов, входящих в состав городского округа);</w:t>
      </w:r>
      <w:proofErr w:type="gramEnd"/>
    </w:p>
    <w:p w:rsidR="009947E9" w:rsidRPr="00C52C00" w:rsidRDefault="009947E9" w:rsidP="00994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  <w:lang w:eastAsia="ru-RU"/>
        </w:rPr>
      </w:pPr>
      <w:r w:rsidRPr="00C5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субсидирование и поддержку субъектов малого и среднего предпринимательства в сумме 300,0 тыс. рублей в рамках муниципальной программы развития и поддержки малого</w:t>
      </w:r>
      <w:r w:rsidR="00E3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предпринимательства.</w:t>
      </w:r>
    </w:p>
    <w:p w:rsidR="009947E9" w:rsidRDefault="009947E9" w:rsidP="0099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D2C2F" w:rsidRPr="00130D22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AC24F7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</w:pPr>
    </w:p>
    <w:p w:rsidR="007D2C2F" w:rsidRPr="00B60C4F" w:rsidRDefault="007D2C2F" w:rsidP="007D2C2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0C4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Раздел «Жилищно-коммунальное хозяйство»</w:t>
      </w:r>
    </w:p>
    <w:p w:rsidR="007D2C2F" w:rsidRPr="00B60C4F" w:rsidRDefault="007D2C2F" w:rsidP="007D2C2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B60C4F" w:rsidRDefault="007D2C2F" w:rsidP="007D2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по разделу «Жилищно-коммунально</w:t>
      </w:r>
      <w:r w:rsidR="002C178C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хозяйство» планируются на 2020</w:t>
      </w:r>
      <w:r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2C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83143,5</w:t>
      </w:r>
      <w:r w:rsidR="00B60C4F"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(-</w:t>
      </w:r>
      <w:r w:rsidR="002C178C">
        <w:rPr>
          <w:rFonts w:ascii="Times New Roman" w:eastAsia="Times New Roman" w:hAnsi="Times New Roman" w:cs="Times New Roman"/>
          <w:sz w:val="24"/>
          <w:szCs w:val="24"/>
          <w:lang w:eastAsia="ru-RU"/>
        </w:rPr>
        <w:t>20605,0</w:t>
      </w:r>
      <w:r w:rsidR="00B60C4F"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F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 В 2021</w:t>
      </w:r>
      <w:r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3F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расходы предусмотрены в сумме</w:t>
      </w:r>
      <w:r w:rsidR="0017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80710,8 (-908,9)</w:t>
      </w:r>
      <w:r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</w:t>
      </w:r>
      <w:r w:rsidR="00173F68">
        <w:rPr>
          <w:rFonts w:ascii="Times New Roman" w:eastAsia="Times New Roman" w:hAnsi="Times New Roman" w:cs="Times New Roman"/>
          <w:sz w:val="24"/>
          <w:szCs w:val="24"/>
          <w:lang w:eastAsia="ru-RU"/>
        </w:rPr>
        <w:t>78822,4 (+1375,2)</w:t>
      </w:r>
      <w:r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соответственно.   </w:t>
      </w:r>
    </w:p>
    <w:p w:rsidR="007D2C2F" w:rsidRPr="00AC24F7" w:rsidRDefault="007D2C2F" w:rsidP="007D2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w:lastRenderedPageBreak/>
        <w:drawing>
          <wp:inline distT="0" distB="0" distL="0" distR="0" wp14:anchorId="286144C2" wp14:editId="36978BA3">
            <wp:extent cx="5495925" cy="3876675"/>
            <wp:effectExtent l="0" t="0" r="9525" b="9525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D2C2F" w:rsidRPr="00AC24F7" w:rsidRDefault="007D2C2F" w:rsidP="007D2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</w:pPr>
    </w:p>
    <w:p w:rsidR="005B13E0" w:rsidRPr="005B13E0" w:rsidRDefault="007D2C2F" w:rsidP="005B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B13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подразделу </w:t>
      </w:r>
      <w:r w:rsidRPr="005B13E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0501 «Жилищное хозяйство»  </w:t>
      </w:r>
      <w:r w:rsidRPr="005B13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предусмотрены </w:t>
      </w:r>
      <w:r w:rsidR="005B13E0" w:rsidRPr="005B13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расходы в сумме 1200,6 тыс. рублей:</w:t>
      </w:r>
    </w:p>
    <w:p w:rsidR="005B13E0" w:rsidRPr="005B13E0" w:rsidRDefault="005B13E0" w:rsidP="005B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B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D2C2F" w:rsidRPr="005B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взносы на капитальный ремонт общего имущества в многоквартирных жилых домах за счет муниципального  жилищного фонда </w:t>
      </w:r>
      <w:r w:rsidRPr="005B13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сумме</w:t>
      </w:r>
      <w:proofErr w:type="gramEnd"/>
      <w:r w:rsidRPr="005B13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800,6</w:t>
      </w:r>
      <w:r w:rsidR="004D0F42" w:rsidRPr="005B13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тыс. рублей, </w:t>
      </w:r>
    </w:p>
    <w:p w:rsidR="005B13E0" w:rsidRPr="005B13E0" w:rsidRDefault="005B13E0" w:rsidP="005B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7D2C2F" w:rsidRPr="005B1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по проведению капитального ремонта муниц</w:t>
      </w:r>
      <w:r w:rsidR="004D0F42" w:rsidRPr="005B1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жилого фонда в сумме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00,0 тыс. рублей,</w:t>
      </w:r>
    </w:p>
    <w:p w:rsidR="005B13E0" w:rsidRPr="005B13E0" w:rsidRDefault="005B13E0" w:rsidP="005B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техническое обследование многоквартирных жилых </w:t>
      </w:r>
      <w:r w:rsidR="000B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 в сумме 100,0 тыс. рублей.</w:t>
      </w:r>
    </w:p>
    <w:p w:rsidR="00567199" w:rsidRPr="00DA25B4" w:rsidRDefault="00567199" w:rsidP="00567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DA2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0502 «Коммунальное хозяйство»</w:t>
      </w:r>
      <w:r w:rsidRPr="00DA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в сумме 14046,7 (-10496,5) тыс. рублей, в 2020 году: </w:t>
      </w:r>
    </w:p>
    <w:p w:rsidR="00C111E9" w:rsidRPr="00C111E9" w:rsidRDefault="00C111E9" w:rsidP="00C111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развитию и модернизации объектов коммунальной инфраструктуры в сумме 5500,0 тыс. рублей. Средства данной программы планируется направить </w:t>
      </w:r>
      <w:proofErr w:type="gramStart"/>
      <w:r w:rsidRPr="00C1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1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11E9" w:rsidRPr="00C111E9" w:rsidRDefault="00C111E9" w:rsidP="00C111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-строительство системы водоотведения по ул. </w:t>
      </w:r>
      <w:proofErr w:type="gramStart"/>
      <w:r w:rsidRPr="00C1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proofErr w:type="gramEnd"/>
      <w:r w:rsidRPr="00C1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пос. Отрадное в сумме 2500,0 тыс. рублей;</w:t>
      </w:r>
    </w:p>
    <w:p w:rsidR="00C111E9" w:rsidRPr="00C111E9" w:rsidRDefault="00C111E9" w:rsidP="00C111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-напорный канализационный коллектор от КНС № 4а до КНС Временная, г. Михайловка, Волгоградская область в сумме 3000,0 тыс. рублей;</w:t>
      </w:r>
    </w:p>
    <w:p w:rsidR="007D2C2F" w:rsidRPr="008D2958" w:rsidRDefault="00DA25B4" w:rsidP="008D2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государственных полномочий по компенсации (возмещению) выпадающих доходов </w:t>
      </w:r>
      <w:proofErr w:type="spellStart"/>
      <w:r w:rsidRPr="00DA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ресурсоснабжающих</w:t>
      </w:r>
      <w:proofErr w:type="spellEnd"/>
      <w:r w:rsidRPr="00DA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связанных с применением ими социальных тарифов (цен) на коммунальные ресурсы  (услуги) и услуги технического водоснабжения, поставляемые населению за счет средств субвенции из областного бюджета  в сумме  8546,7 тыс. рублей.</w:t>
      </w:r>
    </w:p>
    <w:p w:rsidR="007D2C2F" w:rsidRPr="005F4103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5F4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0503 «Благоустройство»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FE694F">
        <w:rPr>
          <w:rFonts w:ascii="Times New Roman" w:eastAsia="Times New Roman" w:hAnsi="Times New Roman" w:cs="Times New Roman"/>
          <w:sz w:val="24"/>
          <w:szCs w:val="24"/>
          <w:lang w:eastAsia="ru-RU"/>
        </w:rPr>
        <w:t>20-22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предусмотрены бюджетные ассигнования  в сумме</w:t>
      </w:r>
      <w:r w:rsidR="00FE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59975,0 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82"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E694F">
        <w:rPr>
          <w:rFonts w:ascii="Times New Roman" w:eastAsia="Times New Roman" w:hAnsi="Times New Roman" w:cs="Times New Roman"/>
          <w:sz w:val="24"/>
          <w:szCs w:val="24"/>
          <w:lang w:eastAsia="ru-RU"/>
        </w:rPr>
        <w:t>-8476,6</w:t>
      </w:r>
      <w:r w:rsidR="00453682"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в 20</w:t>
      </w:r>
      <w:r w:rsidR="00FE694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  <w:r w:rsidR="00FE694F">
        <w:rPr>
          <w:rFonts w:ascii="Times New Roman" w:eastAsia="Times New Roman" w:hAnsi="Times New Roman" w:cs="Times New Roman"/>
          <w:sz w:val="24"/>
          <w:szCs w:val="24"/>
          <w:lang w:eastAsia="ru-RU"/>
        </w:rPr>
        <w:t>63281,8 (-7468,2)</w:t>
      </w:r>
      <w:r w:rsidR="005F4103"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202</w:t>
      </w:r>
      <w:r w:rsidR="00FE69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  <w:r w:rsidR="00FE694F">
        <w:rPr>
          <w:rFonts w:ascii="Times New Roman" w:eastAsia="Times New Roman" w:hAnsi="Times New Roman" w:cs="Times New Roman"/>
          <w:sz w:val="24"/>
          <w:szCs w:val="24"/>
          <w:lang w:eastAsia="ru-RU"/>
        </w:rPr>
        <w:t>59499,4 (-7250,6)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202</w:t>
      </w:r>
      <w:r w:rsidR="00FE69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</w:p>
    <w:p w:rsidR="007D2C2F" w:rsidRPr="0024074E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Расходы</w:t>
      </w:r>
      <w:r w:rsidR="005F4103" w:rsidRPr="0024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FE694F" w:rsidRPr="0024074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43FF" w:rsidRPr="0024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</w:t>
      </w:r>
      <w:r w:rsidRPr="002407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7F31" w:rsidRPr="00F47F31" w:rsidRDefault="00F47F31" w:rsidP="00F47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по </w:t>
      </w:r>
      <w:proofErr w:type="spellStart"/>
      <w:r w:rsidRPr="00F47F3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энергоресурсосбережению</w:t>
      </w:r>
      <w:proofErr w:type="spellEnd"/>
      <w:r w:rsidRPr="00F4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18100,0 тыс. рублей;</w:t>
      </w:r>
    </w:p>
    <w:p w:rsidR="00F47F31" w:rsidRPr="00F47F31" w:rsidRDefault="00F47F31" w:rsidP="00F47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реализацию мероприятий муниципальной программы по формированию современной городской среде в сумме 2500,0 тыс. рублей на благоустройство дворовых и общественных территорий;</w:t>
      </w:r>
    </w:p>
    <w:p w:rsidR="00F47F31" w:rsidRPr="00F47F31" w:rsidRDefault="00F47F31" w:rsidP="00F47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предоставление </w:t>
      </w:r>
      <w:proofErr w:type="gramStart"/>
      <w:r w:rsidRPr="00F4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proofErr w:type="gramEnd"/>
      <w:r w:rsidRPr="00F4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выполнение муниципального задания по благоустройству  автономному учреждению «Комбинат благоустройства и озеленения» в сумме 23000,0 тыс. рублей;</w:t>
      </w:r>
    </w:p>
    <w:p w:rsidR="00F47F31" w:rsidRPr="00F47F31" w:rsidRDefault="00F47F31" w:rsidP="00F47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целевых субсидий муниципальному бюджетному учреждению «Комбинат благоустройства и озеленения» на содержание инспекций  по благоустройству, на обслуживание уличного освещения в сумме 5000,0 тыс. рублей;</w:t>
      </w:r>
    </w:p>
    <w:p w:rsidR="0024074E" w:rsidRPr="0024074E" w:rsidRDefault="0024074E" w:rsidP="002407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оплату расходов по уличному освещению в сумме  10000,0 тыс. рублей;</w:t>
      </w:r>
    </w:p>
    <w:p w:rsidR="0024074E" w:rsidRPr="0024074E" w:rsidRDefault="0024074E" w:rsidP="002407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озеленение сельских территорий в сумме 150,0 тыс. рублей;</w:t>
      </w:r>
    </w:p>
    <w:p w:rsidR="0024074E" w:rsidRPr="0024074E" w:rsidRDefault="0024074E" w:rsidP="002407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содержание мест захоронений сельских территорий в сумме 225,0 тыс. рублей;</w:t>
      </w:r>
    </w:p>
    <w:p w:rsidR="00F47F31" w:rsidRPr="006F29F3" w:rsidRDefault="0024074E" w:rsidP="006F2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прочие расходы благоустройства на сельских территориях в сумме 1000,0</w:t>
      </w:r>
      <w:r w:rsidR="006F2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6F29F3" w:rsidRPr="006D4F51" w:rsidRDefault="007D2C2F" w:rsidP="006D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подразделу </w:t>
      </w:r>
      <w:r w:rsidRPr="006D4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0505 «Другие вопросы в области жилищно-коммунального хозяйства»</w:t>
      </w:r>
      <w:r w:rsidRPr="006D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 расходы</w:t>
      </w:r>
      <w:r w:rsidR="006F29F3" w:rsidRPr="006D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7921,2 тыс. рублей, в т. ч.: </w:t>
      </w:r>
    </w:p>
    <w:p w:rsidR="006D4F51" w:rsidRPr="006D4F51" w:rsidRDefault="006D4F51" w:rsidP="006D4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муниципальной программы по содействию занятости населения на временное трудоустройство граждан в форме целевой субсидии муниципальному автономному учреждению «Комбинат благоустройства и озеленения» в сумме 1507,0 тыс. рублей;</w:t>
      </w:r>
    </w:p>
    <w:p w:rsidR="006D4F51" w:rsidRPr="006D4F51" w:rsidRDefault="006D4F51" w:rsidP="006D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организацию и осуществлению государственного жилищного надзора и лицензионного контроля в сумме 687,7 тыс. рублей;</w:t>
      </w:r>
    </w:p>
    <w:p w:rsidR="006D4F51" w:rsidRPr="006D4F51" w:rsidRDefault="006D4F51" w:rsidP="006D4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по данной отрасли предусмотрены  расходы на обеспечение выполнения функций казенным учреждением МКУ «Отдел капитального строительства» в сумме 5726,5 тыс. рублей. </w:t>
      </w:r>
    </w:p>
    <w:p w:rsidR="006D4F51" w:rsidRPr="006D4F51" w:rsidRDefault="006D4F51" w:rsidP="006D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AC24F7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424FA2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424FA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«Образование»</w:t>
      </w:r>
    </w:p>
    <w:p w:rsidR="007D2C2F" w:rsidRPr="00AC24F7" w:rsidRDefault="007D2C2F" w:rsidP="007D2C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37476E" w:rsidRDefault="007D2C2F" w:rsidP="007D2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бюджетные ассигнования  по разделу бюджета «Образование» предусмотрены</w:t>
      </w:r>
      <w:r w:rsidR="0037476E"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541E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7476E"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r w:rsidR="0054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964571,1 (+67780,6)</w:t>
      </w:r>
      <w:r w:rsidR="0037476E"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 Доля указанных расходов в обще</w:t>
      </w:r>
      <w:r w:rsidR="0037476E"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объеме расходов бюджета в 20</w:t>
      </w:r>
      <w:r w:rsidR="00541E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541E82">
        <w:rPr>
          <w:rFonts w:ascii="Times New Roman" w:eastAsia="Times New Roman" w:hAnsi="Times New Roman" w:cs="Times New Roman"/>
          <w:sz w:val="24"/>
          <w:szCs w:val="24"/>
          <w:lang w:eastAsia="ru-RU"/>
        </w:rPr>
        <w:t>61,1%</w:t>
      </w:r>
      <w:r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 проекте 201</w:t>
      </w:r>
      <w:r w:rsidR="00541E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доля расходов по данному разделу была на </w:t>
      </w:r>
      <w:r w:rsidR="0037476E"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 </w:t>
      </w:r>
      <w:r w:rsidR="00541E82"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58,6%.</w:t>
      </w:r>
    </w:p>
    <w:p w:rsidR="007D2C2F" w:rsidRPr="0037476E" w:rsidRDefault="007D2C2F" w:rsidP="007D2C2F">
      <w:pPr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 структура расходов  бюджета по разделу «Образование»:                                                                                                            тыс. рублей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0"/>
        <w:gridCol w:w="909"/>
        <w:gridCol w:w="919"/>
        <w:gridCol w:w="1039"/>
        <w:gridCol w:w="919"/>
        <w:gridCol w:w="966"/>
        <w:gridCol w:w="917"/>
        <w:gridCol w:w="917"/>
        <w:gridCol w:w="908"/>
      </w:tblGrid>
      <w:tr w:rsidR="00692D78" w:rsidRPr="008B2296" w:rsidTr="00692D78">
        <w:trPr>
          <w:trHeight w:val="1483"/>
          <w:tblHeader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78" w:rsidRPr="008B2296" w:rsidRDefault="00692D7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692D78" w:rsidRDefault="00692D78" w:rsidP="00692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D78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78" w:rsidRPr="008B2296" w:rsidRDefault="00692D78" w:rsidP="00212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78" w:rsidRPr="008B2296" w:rsidRDefault="00692D78" w:rsidP="00692D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78" w:rsidRPr="008B2296" w:rsidRDefault="00692D7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78" w:rsidRPr="008B2296" w:rsidRDefault="00692D78" w:rsidP="00692D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78" w:rsidRPr="008B2296" w:rsidRDefault="00692D7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78" w:rsidRPr="008B2296" w:rsidRDefault="00692D78" w:rsidP="00692D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78" w:rsidRPr="008B2296" w:rsidRDefault="00692D7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</w:tr>
      <w:tr w:rsidR="00692D78" w:rsidRPr="008B2296" w:rsidTr="00692D78">
        <w:trPr>
          <w:trHeight w:val="247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78" w:rsidRPr="008B2296" w:rsidRDefault="00692D7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692D78" w:rsidRDefault="00692D78" w:rsidP="00692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D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78" w:rsidRPr="008B2296" w:rsidRDefault="00692D78" w:rsidP="00212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78" w:rsidRPr="008B2296" w:rsidRDefault="00692D7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78" w:rsidRPr="008B2296" w:rsidRDefault="00692D7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78" w:rsidRPr="008B2296" w:rsidRDefault="00692D7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78" w:rsidRPr="008B2296" w:rsidRDefault="00692D7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78" w:rsidRPr="008B2296" w:rsidRDefault="00692D7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78" w:rsidRPr="008B2296" w:rsidRDefault="00692D7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92D78" w:rsidRPr="008B2296" w:rsidTr="00692D78">
        <w:trPr>
          <w:trHeight w:val="494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78" w:rsidRPr="008B2296" w:rsidRDefault="00692D78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692D78" w:rsidP="006E6A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300751,3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692D78" w:rsidP="006E6A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361109,1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2836BD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507240,4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534E6B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314659,8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534E6B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692D78" w:rsidRPr="008B2296" w:rsidTr="00692D78">
        <w:trPr>
          <w:trHeight w:val="494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78" w:rsidRPr="008B2296" w:rsidRDefault="00692D78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692D78" w:rsidP="006E6A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508279,3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692D78" w:rsidP="006E6A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524947,3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2836BD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631904,2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534E6B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638667,0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534E6B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692D78" w:rsidRPr="008B2296" w:rsidTr="00692D78">
        <w:trPr>
          <w:trHeight w:val="494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78" w:rsidRPr="008B2296" w:rsidRDefault="00692D78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692D78" w:rsidP="006E6A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58558,0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692D78" w:rsidP="006E6A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50288,3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2836BD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43875,9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534E6B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43875,9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534E6B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D81F57" w:rsidRPr="008B2296" w:rsidTr="00692D78">
        <w:trPr>
          <w:trHeight w:val="494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57" w:rsidRPr="008B2296" w:rsidRDefault="00D81F57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57" w:rsidRPr="008B2296" w:rsidRDefault="00D81F57" w:rsidP="006E6A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57" w:rsidRPr="008B2296" w:rsidRDefault="00D81F57" w:rsidP="006E6A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57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603,0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57" w:rsidRPr="008B2296" w:rsidRDefault="00861A6B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57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57" w:rsidRPr="008B2296" w:rsidRDefault="00534E6B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57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57" w:rsidRPr="008B2296" w:rsidRDefault="00534E6B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2D78" w:rsidRPr="008B2296" w:rsidTr="00692D78">
        <w:trPr>
          <w:trHeight w:val="798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78" w:rsidRPr="008B2296" w:rsidRDefault="00692D78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Молодежная политика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692D78" w:rsidP="006E6A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29201,9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692D78" w:rsidP="006E6A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27623,4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861A6B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21749,7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534E6B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21749,7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534E6B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692D78" w:rsidRPr="008B2296" w:rsidTr="00692D78">
        <w:trPr>
          <w:trHeight w:val="247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78" w:rsidRPr="008B2296" w:rsidRDefault="00692D78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692D78" w:rsidP="006E6A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896790,5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692D78" w:rsidP="006E6A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964571,1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1204770,2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1018952,4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78" w:rsidRPr="008B2296" w:rsidRDefault="00D81F5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D2C2F" w:rsidRPr="006757CD" w:rsidRDefault="007D2C2F" w:rsidP="007D2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6757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0701 «Дошкольное образование»</w:t>
      </w:r>
      <w:r w:rsidRPr="0067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расходы в сумме</w:t>
      </w:r>
      <w:r w:rsidR="00483E2A" w:rsidRPr="0067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361109,1</w:t>
      </w:r>
      <w:r w:rsidRPr="0067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00C" w:rsidRPr="006757CD">
        <w:rPr>
          <w:rFonts w:ascii="Times New Roman" w:eastAsia="Times New Roman" w:hAnsi="Times New Roman" w:cs="Times New Roman"/>
          <w:sz w:val="24"/>
          <w:szCs w:val="24"/>
          <w:lang w:eastAsia="ru-RU"/>
        </w:rPr>
        <w:t>(+</w:t>
      </w:r>
      <w:r w:rsidR="00483E2A" w:rsidRPr="006757CD">
        <w:rPr>
          <w:rFonts w:ascii="Times New Roman" w:eastAsia="Times New Roman" w:hAnsi="Times New Roman" w:cs="Times New Roman"/>
          <w:sz w:val="24"/>
          <w:szCs w:val="24"/>
          <w:lang w:eastAsia="ru-RU"/>
        </w:rPr>
        <w:t>60357,8</w:t>
      </w:r>
      <w:r w:rsidR="00F2300C" w:rsidRPr="0067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757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на 20</w:t>
      </w:r>
      <w:r w:rsidR="00483E2A" w:rsidRPr="006757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7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="00483E2A" w:rsidRPr="006757CD">
        <w:rPr>
          <w:rFonts w:ascii="Times New Roman" w:eastAsia="Times New Roman" w:hAnsi="Times New Roman" w:cs="Times New Roman"/>
          <w:sz w:val="24"/>
          <w:szCs w:val="24"/>
          <w:lang w:eastAsia="ru-RU"/>
        </w:rPr>
        <w:t>507240,4</w:t>
      </w:r>
      <w:r w:rsidR="00F2300C" w:rsidRPr="0067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202</w:t>
      </w:r>
      <w:r w:rsidR="00483E2A" w:rsidRPr="006757CD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 и 314659,8</w:t>
      </w:r>
      <w:r w:rsidRPr="0067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202</w:t>
      </w:r>
      <w:r w:rsidR="00483E2A" w:rsidRPr="006757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Из них:</w:t>
      </w:r>
    </w:p>
    <w:p w:rsidR="006757CD" w:rsidRPr="006757CD" w:rsidRDefault="006757CD" w:rsidP="00675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развитию дошкольного образования в сумме 45502,8 тыс. рублей, в том числе за счет средств субсидии из областного бюджета – 45318,4 тыс. рублей. Средства данной программы планируется направить </w:t>
      </w:r>
      <w:proofErr w:type="gramStart"/>
      <w:r w:rsidRPr="0067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7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57CD" w:rsidRPr="006757CD" w:rsidRDefault="006757CD" w:rsidP="006757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-строительство детского сада на 220 мест по ул. Республиканской, 46а в сумме 45500,4 тыс. рублей, в том числе за счет средств областного бюджета – 45318,4 тыс. рублей;</w:t>
      </w:r>
      <w:proofErr w:type="gramEnd"/>
    </w:p>
    <w:p w:rsidR="006757CD" w:rsidRPr="006757CD" w:rsidRDefault="006757CD" w:rsidP="006757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-оснащение групп дошкольного образования в сумме 2,4 тыс. рублей;</w:t>
      </w:r>
    </w:p>
    <w:p w:rsidR="009C536B" w:rsidRPr="006757CD" w:rsidRDefault="009C536B" w:rsidP="009C53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обеспечению пожарной безопасности образовательных учреждений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7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00,0 тыс. рублей;</w:t>
      </w:r>
    </w:p>
    <w:p w:rsidR="006757CD" w:rsidRPr="006E6ACB" w:rsidRDefault="006E6ACB" w:rsidP="007D2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медицинскому обеспечению в образовательных учреждениях в сумме 5</w:t>
      </w:r>
      <w:r w:rsidRPr="006E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7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 тыс. рублей</w:t>
      </w:r>
      <w:r w:rsidR="008A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2894" w:rsidRDefault="006E6ACB" w:rsidP="006E6A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муниципальных учреждений дошкольного образования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267550,3 (+6038,0)</w:t>
      </w: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C28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6ACB" w:rsidRPr="00A85424" w:rsidRDefault="006E6ACB" w:rsidP="00A8542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ведомственной программы «Обеспечение доступности и качества образования» </w:t>
      </w:r>
      <w:r w:rsidR="006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47376,0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(+8907,1) </w:t>
      </w:r>
      <w:r w:rsidR="008A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A85424" w:rsidRDefault="00A85424" w:rsidP="00A854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343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0702 «Общее образование»</w:t>
      </w:r>
      <w:r w:rsidRPr="003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расходы в сумме</w:t>
      </w:r>
      <w:r w:rsidR="0037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524947,3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</w:t>
      </w:r>
      <w:r w:rsidR="00376F93">
        <w:rPr>
          <w:rFonts w:ascii="Times New Roman" w:eastAsia="Times New Roman" w:hAnsi="Times New Roman" w:cs="Times New Roman"/>
          <w:sz w:val="24"/>
          <w:szCs w:val="24"/>
          <w:lang w:eastAsia="ru-RU"/>
        </w:rPr>
        <w:t>16668,0</w:t>
      </w:r>
      <w:r w:rsidRPr="00201E3F">
        <w:rPr>
          <w:rFonts w:ascii="Times New Roman" w:eastAsia="Times New Roman" w:hAnsi="Times New Roman" w:cs="Times New Roman"/>
          <w:sz w:val="24"/>
          <w:szCs w:val="24"/>
          <w:lang w:eastAsia="ru-RU"/>
        </w:rPr>
        <w:t>)  тыс. рублей.  Из них:</w:t>
      </w:r>
    </w:p>
    <w:p w:rsidR="00AD621D" w:rsidRDefault="00AD621D" w:rsidP="00A854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обеспечению пожарной безопасности образовательных учреждений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7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 тыс. рублей</w:t>
      </w:r>
    </w:p>
    <w:p w:rsidR="00755D22" w:rsidRPr="006E6ACB" w:rsidRDefault="00755D22" w:rsidP="00755D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медицинскому обеспечению в образовательных учреждениях в сумме </w:t>
      </w:r>
      <w:r w:rsidR="005F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Pr="0067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5D22" w:rsidRPr="00DE6B3F" w:rsidRDefault="00DE6B3F" w:rsidP="00A854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повышению безопасности и антитеррористической защищенности образовательных учреждений в сумме 300,0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6B3F" w:rsidRPr="00E768FA" w:rsidRDefault="00DE6B3F" w:rsidP="00DE6B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по формированию здорового образа жизни обучающихся в сумме 30,0 тыс. рублей;</w:t>
      </w:r>
    </w:p>
    <w:p w:rsidR="00755D22" w:rsidRPr="00524C7B" w:rsidRDefault="00DE6B3F" w:rsidP="00A854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«Одаренные дети» в сумме 13</w:t>
      </w:r>
      <w:r w:rsidRPr="00E768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24C7B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524C7B" w:rsidRPr="00510D6F" w:rsidRDefault="00524C7B" w:rsidP="00524C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совершенствованию материально-технической базы образовательных учреждений в сумме 300,0 тыс. рублей;</w:t>
      </w:r>
    </w:p>
    <w:p w:rsidR="00DE6B3F" w:rsidRPr="00C82CC9" w:rsidRDefault="00510D6F" w:rsidP="00C82C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 w:rsidRPr="0051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организации питания, отдыха и </w:t>
      </w:r>
      <w:proofErr w:type="gramStart"/>
      <w:r w:rsidRPr="0051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оздоровления</w:t>
      </w:r>
      <w:proofErr w:type="gramEnd"/>
      <w:r w:rsidRPr="0051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обучающихся  </w:t>
      </w:r>
      <w:r w:rsidRPr="0051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малоимущих семей, детей, находящихся на учете у фтизиатра и учащихся 1-4 классов в сумме -  27338,2 тыс. рублей, в том числе </w:t>
      </w:r>
      <w:r w:rsidRPr="0051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средств субвенции – </w:t>
      </w:r>
      <w:r w:rsidRPr="00510D6F">
        <w:rPr>
          <w:rFonts w:ascii="Times New Roman" w:eastAsia="Times New Roman" w:hAnsi="Times New Roman" w:cs="Times New Roman"/>
          <w:sz w:val="24"/>
          <w:szCs w:val="24"/>
          <w:lang w:eastAsia="ru-RU"/>
        </w:rPr>
        <w:t>21546,5 тыс. рублей;</w:t>
      </w:r>
    </w:p>
    <w:p w:rsidR="00DE6B3F" w:rsidRDefault="00C82CC9" w:rsidP="00A854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C82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муниципальных учреждений общего образования в сумме  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5889,1</w:t>
      </w:r>
      <w:r w:rsidRPr="00C8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C0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C7B" w:rsidRDefault="004C0C7B" w:rsidP="00A854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7B" w:rsidRDefault="004C0C7B" w:rsidP="004C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F4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F45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0703 «Дополнительное образование детей»</w:t>
      </w:r>
      <w:r w:rsidRPr="00F4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расходы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50288,3</w:t>
      </w:r>
      <w:r w:rsidRPr="00F4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8269,7</w:t>
      </w:r>
      <w:r w:rsidRPr="00F45164">
        <w:rPr>
          <w:rFonts w:ascii="Times New Roman" w:eastAsia="Times New Roman" w:hAnsi="Times New Roman" w:cs="Times New Roman"/>
          <w:sz w:val="24"/>
          <w:szCs w:val="24"/>
          <w:lang w:eastAsia="ru-RU"/>
        </w:rPr>
        <w:t>) тыс. рублей</w:t>
      </w:r>
      <w:r w:rsidR="004223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</w:t>
      </w:r>
      <w:r w:rsidR="00D3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31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Pr="00F45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2316" w:rsidRPr="009555D9" w:rsidRDefault="00422316" w:rsidP="004223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реализацию мероприятий муниципальной программы по обеспечению пожарной </w:t>
      </w:r>
      <w:r w:rsidRPr="0095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образовательных учреждений в сумме 10,0 тыс. рублей;</w:t>
      </w:r>
    </w:p>
    <w:p w:rsidR="00422316" w:rsidRDefault="009555D9" w:rsidP="00BA0D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медицинскому обеспечению в образ</w:t>
      </w:r>
      <w:r w:rsidR="00AC7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овательных учреждениях в сумме </w:t>
      </w:r>
      <w:r w:rsidRPr="0095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50,0 тыс. рублей</w:t>
      </w:r>
      <w:r w:rsidR="004E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0D51" w:rsidRPr="004B5658" w:rsidRDefault="00BA0D51" w:rsidP="00BA0D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по духовно-нравственному 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детей и подростков в сумме 30</w:t>
      </w:r>
      <w:r w:rsidRPr="004B5658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422316" w:rsidRDefault="00C92A20" w:rsidP="004C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9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реализацию мероприятий муниципальной программы «Одаренные дети» в сумме </w:t>
      </w:r>
      <w:r w:rsidR="0078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9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 тыс. рублей</w:t>
      </w:r>
      <w:r w:rsidR="001B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2454" w:rsidRDefault="001B2454" w:rsidP="004C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F7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по поддержке и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детского творчества в сумме 3</w:t>
      </w:r>
      <w:r w:rsidRPr="001F7073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49AD" w:rsidRPr="005449AD" w:rsidRDefault="005449AD" w:rsidP="005449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обеспечению пожарной безопасности учреждений дополнительного образования детей в сфере культуры в сумме 20,0 тыс. рублей;</w:t>
      </w:r>
    </w:p>
    <w:p w:rsidR="005449AD" w:rsidRPr="005449AD" w:rsidRDefault="005449AD" w:rsidP="005449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повышение финансовой грамотности детей за счет субсидии из областного бюджета – 436,6 тыс. рублей;</w:t>
      </w:r>
    </w:p>
    <w:p w:rsidR="005449AD" w:rsidRPr="005449AD" w:rsidRDefault="005449AD" w:rsidP="005449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деятельности муниципальных учреждений дополнительного образования предусмотрены расходы в сумме 49065,7</w:t>
      </w:r>
      <w:r w:rsidRPr="00544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6E7388" w:rsidRPr="006E7388" w:rsidRDefault="006E7388" w:rsidP="006E73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укреплению и развитию материально-технической базы учреждений дополнительного образования детей  в сумме 100,0 тыс. рублей (ремонт зданий и помещений);</w:t>
      </w:r>
    </w:p>
    <w:p w:rsidR="00A515CC" w:rsidRPr="00CE5770" w:rsidRDefault="00A515CC" w:rsidP="00A515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повышению </w:t>
      </w:r>
      <w:r w:rsidRPr="00CE5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в сфере  спорта и молодежной политики в сумме </w:t>
      </w:r>
      <w:r w:rsidR="000A0C21" w:rsidRPr="00CE5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31,9</w:t>
      </w:r>
      <w:r w:rsidRPr="00CE5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CE5770" w:rsidRPr="00CE5770" w:rsidRDefault="00A4682D" w:rsidP="00A4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E5770" w:rsidRPr="00CE5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предоставление </w:t>
      </w:r>
      <w:proofErr w:type="gramStart"/>
      <w:r w:rsidR="00CE5770" w:rsidRPr="00CE5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proofErr w:type="gramEnd"/>
      <w:r w:rsidR="00CE5770" w:rsidRPr="00CE5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выполнение муниципального задания  автономному учреждению «Центр аграрных компете</w:t>
      </w:r>
      <w:r w:rsidR="007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нций» в сумме 494,1 тыс. рублей.</w:t>
      </w:r>
    </w:p>
    <w:p w:rsidR="001B2454" w:rsidRDefault="00ED5770" w:rsidP="00ED5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7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ED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ED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0705 «Профессиональная подготовка, переподготовка и повышение квалификации»</w:t>
      </w:r>
      <w:r w:rsidRPr="00ED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расходы в сумме 603,0 тыс. рублей  </w:t>
      </w:r>
      <w:r w:rsidRPr="00ED5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профессиональную переподго</w:t>
      </w:r>
      <w:r w:rsidR="007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товку и повышение квалификации.</w:t>
      </w:r>
    </w:p>
    <w:p w:rsidR="007E5EE4" w:rsidRDefault="007E5EE4" w:rsidP="00ED5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E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подразделу </w:t>
      </w:r>
      <w:r w:rsidRPr="006E0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0707 «Молодежная политика»</w:t>
      </w:r>
      <w:r w:rsidRPr="006E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бюджета предусматриваются расходы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27623,4 (-1578,5)</w:t>
      </w:r>
      <w:r w:rsidRPr="006E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т. ч.:</w:t>
      </w:r>
    </w:p>
    <w:p w:rsidR="00784863" w:rsidRPr="00784863" w:rsidRDefault="00784863" w:rsidP="0078486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обеспечению пожарной безопасности учреждений молодежной политики в сумме 141,5 тыс. рублей;</w:t>
      </w:r>
    </w:p>
    <w:p w:rsidR="00FB5D7A" w:rsidRPr="00FB5D7A" w:rsidRDefault="00FB5D7A" w:rsidP="00FB5D7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профилактике экстремисткой деятельности в молодежной среде в сумме     5,0 тыс. рублей;</w:t>
      </w:r>
    </w:p>
    <w:p w:rsidR="00FB5D7A" w:rsidRPr="00FB5D7A" w:rsidRDefault="00FB5D7A" w:rsidP="00FB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B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отдыха детей в каникулярный период – 11358,0 тыс. рублей, в том числе за счет средств субсидии -  7149,7 тыс. рублей;</w:t>
      </w:r>
    </w:p>
    <w:p w:rsidR="00E34425" w:rsidRPr="00E34425" w:rsidRDefault="00E34425" w:rsidP="00E3442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обеспечение деятельности муниципальных учреждений по молодежной политике и оздоровлению детей в сумме  15905,3  тыс. рублей;</w:t>
      </w:r>
    </w:p>
    <w:p w:rsidR="0061781C" w:rsidRPr="0061781C" w:rsidRDefault="0061781C" w:rsidP="0061781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повышению безопасности и антитеррористической защищенности в сфере молодежной политики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63,6</w:t>
      </w:r>
      <w:r w:rsidRPr="0061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2C2ED1" w:rsidRPr="002C2ED1" w:rsidRDefault="002C2ED1" w:rsidP="002C2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мероприятия «Школа общественной активн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ости» в сумме 150,0 тыс. рублей.</w:t>
      </w:r>
    </w:p>
    <w:p w:rsidR="00784863" w:rsidRPr="002C2ED1" w:rsidRDefault="00784863" w:rsidP="00ED5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861FAA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C2F" w:rsidRPr="00861FAA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«Культура, кинематография»</w:t>
      </w:r>
    </w:p>
    <w:p w:rsidR="007D2C2F" w:rsidRPr="00861FAA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C2F" w:rsidRPr="00861FAA" w:rsidRDefault="007D2C2F" w:rsidP="007D2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бюджетные ассигнования по разделу бюджета «Культура, кинем</w:t>
      </w:r>
      <w:r w:rsidR="00861FAA" w:rsidRPr="00861F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атография» предусмотрены на 20</w:t>
      </w:r>
      <w:r w:rsidR="006638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6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</w:t>
      </w:r>
      <w:r w:rsidR="00EB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79925,3 </w:t>
      </w:r>
      <w:r w:rsidRPr="0086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По сравнению с планом предыдущего года, расходы снизятся  на </w:t>
      </w:r>
      <w:r w:rsidR="00EB1902">
        <w:rPr>
          <w:rFonts w:ascii="Times New Roman" w:eastAsia="Times New Roman" w:hAnsi="Times New Roman" w:cs="Times New Roman"/>
          <w:sz w:val="24"/>
          <w:szCs w:val="24"/>
          <w:lang w:eastAsia="ru-RU"/>
        </w:rPr>
        <w:t>15339,7</w:t>
      </w:r>
      <w:r w:rsidRPr="0086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D2C2F" w:rsidRPr="00861FAA" w:rsidRDefault="007D2C2F" w:rsidP="007D2C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7D2C2F" w:rsidRPr="00861FAA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расходов городского бюджета по разделу «Культура, кинематография»</w:t>
      </w:r>
    </w:p>
    <w:p w:rsidR="007D2C2F" w:rsidRPr="00AC24F7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0BB61455" wp14:editId="6336B3C1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D2C2F" w:rsidRDefault="007D2C2F" w:rsidP="007D2C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подразделу </w:t>
      </w:r>
      <w:r w:rsidRPr="000C3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0801</w:t>
      </w:r>
      <w:r w:rsidRPr="000C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«Культура» </w:t>
      </w:r>
      <w:r w:rsidRPr="000C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бюджетные ассигнования в сумме </w:t>
      </w:r>
      <w:r w:rsidR="00E24B2B">
        <w:rPr>
          <w:rFonts w:ascii="Times New Roman" w:eastAsia="Times New Roman" w:hAnsi="Times New Roman" w:cs="Times New Roman"/>
          <w:sz w:val="24"/>
          <w:szCs w:val="24"/>
          <w:lang w:eastAsia="ru-RU"/>
        </w:rPr>
        <w:t>79925,3</w:t>
      </w:r>
      <w:r w:rsidR="00FC2D13" w:rsidRPr="000C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рублей: </w:t>
      </w:r>
    </w:p>
    <w:p w:rsidR="00E24B2B" w:rsidRPr="00E24B2B" w:rsidRDefault="00E24B2B" w:rsidP="00E24B2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2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мероприятий муниципальной программы по обеспечению пожарной безопасности учреждений культуры в сумме 100,0 тыс. рублей;</w:t>
      </w:r>
    </w:p>
    <w:p w:rsidR="00E24B2B" w:rsidRPr="00E24B2B" w:rsidRDefault="00E24B2B" w:rsidP="00E24B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2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мероприятий муниципальной программы по формированию доступной среды для инвалидов в сумме 200,0 тыс. рублей.</w:t>
      </w:r>
    </w:p>
    <w:p w:rsidR="00E24B2B" w:rsidRPr="00E24B2B" w:rsidRDefault="00E24B2B" w:rsidP="00E24B2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рамках ведомственной программы «Сохранение и развитие культуры городского округа город Михайловка Волгоградской области» на 2019-2021 годы на обеспечение деятельности муниципальных учреждений культуры в сумме 79225,3 (-14739,7) тыс. рублей;</w:t>
      </w:r>
    </w:p>
    <w:p w:rsidR="007F1CA3" w:rsidRPr="00E24B2B" w:rsidRDefault="007F1CA3" w:rsidP="007F1CA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2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мероприятий муниципальной программы по укреплению материально-технической базы учреждений культуры в сумме 100,0 тыс. рублей;</w:t>
      </w:r>
    </w:p>
    <w:p w:rsidR="0050425D" w:rsidRPr="00E24B2B" w:rsidRDefault="0050425D" w:rsidP="0050425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2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мероприятий муниципальной программы по повышению безопасности и антитеррористической защищенности в сфере культуры в сумме 100,0 тыс. рублей;</w:t>
      </w:r>
    </w:p>
    <w:p w:rsidR="008E7B1C" w:rsidRPr="00E24B2B" w:rsidRDefault="008E7B1C" w:rsidP="008E7B1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  <w:r w:rsidRPr="00E2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общегородских мероприятий в сумме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00,0 тыс. рублей.</w:t>
      </w:r>
    </w:p>
    <w:p w:rsidR="00E24B2B" w:rsidRPr="008E7B1C" w:rsidRDefault="00E24B2B" w:rsidP="00E24B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B2B" w:rsidRPr="000C3981" w:rsidRDefault="00E24B2B" w:rsidP="007D2C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2B" w:rsidRPr="00E24B2B" w:rsidRDefault="007D2C2F" w:rsidP="008E7B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24B2B" w:rsidRPr="00832E23" w:rsidRDefault="00E24B2B" w:rsidP="007D2C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F" w:rsidRPr="00832E23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«Социальная политика»</w:t>
      </w:r>
    </w:p>
    <w:p w:rsidR="007D2C2F" w:rsidRPr="00832E23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представленном проекте решения расходы по разделу 10</w:t>
      </w:r>
      <w:r w:rsidR="00832E23"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>00 «Социальная политика» на 20</w:t>
      </w:r>
      <w:r w:rsidR="00CE3AF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составят</w:t>
      </w:r>
      <w:r w:rsidR="00832E23"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AFE">
        <w:rPr>
          <w:rFonts w:ascii="Times New Roman" w:eastAsia="Times New Roman" w:hAnsi="Times New Roman" w:cs="Times New Roman"/>
          <w:sz w:val="24"/>
          <w:szCs w:val="24"/>
          <w:lang w:eastAsia="ru-RU"/>
        </w:rPr>
        <w:t>99976,2 (+905,8</w:t>
      </w:r>
      <w:r w:rsidR="00832E23"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>) тыс. рублей, в 202</w:t>
      </w:r>
      <w:r w:rsidR="00CE3A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832E23"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105397,8 </w:t>
      </w:r>
      <w:r w:rsidR="00832E23"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(+ 4</w:t>
      </w:r>
      <w:r w:rsidR="00CE3AFE">
        <w:rPr>
          <w:rFonts w:ascii="Times New Roman" w:eastAsia="Times New Roman" w:hAnsi="Times New Roman" w:cs="Times New Roman"/>
          <w:sz w:val="24"/>
          <w:szCs w:val="24"/>
          <w:lang w:eastAsia="ru-RU"/>
        </w:rPr>
        <w:t>327,1</w:t>
      </w:r>
      <w:r w:rsidR="00832E23"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202</w:t>
      </w:r>
      <w:r w:rsidR="00CE3A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CE3AFE">
        <w:rPr>
          <w:rFonts w:ascii="Times New Roman" w:eastAsia="Times New Roman" w:hAnsi="Times New Roman" w:cs="Times New Roman"/>
          <w:sz w:val="24"/>
          <w:szCs w:val="24"/>
          <w:lang w:eastAsia="ru-RU"/>
        </w:rPr>
        <w:t>109568,5</w:t>
      </w:r>
      <w:r w:rsidR="00832E23"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(+</w:t>
      </w:r>
      <w:r w:rsidR="00CE3AFE">
        <w:rPr>
          <w:rFonts w:ascii="Times New Roman" w:eastAsia="Times New Roman" w:hAnsi="Times New Roman" w:cs="Times New Roman"/>
          <w:sz w:val="24"/>
          <w:szCs w:val="24"/>
          <w:lang w:eastAsia="ru-RU"/>
        </w:rPr>
        <w:t>9498,1</w:t>
      </w:r>
      <w:r w:rsidR="00832E23"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7D2C2F" w:rsidRPr="00832E23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832E23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832E23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расходов по разделу «Социальная политика»</w:t>
      </w:r>
    </w:p>
    <w:p w:rsidR="007D2C2F" w:rsidRPr="00AC24F7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 wp14:anchorId="5E278F41" wp14:editId="2EAFAC06">
            <wp:extent cx="5495925" cy="3209925"/>
            <wp:effectExtent l="0" t="0" r="9525" b="9525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D2C2F" w:rsidRPr="00A407E4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</w:t>
      </w:r>
      <w:r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рассматриваемого раздела представлена следующими подразделами:</w:t>
      </w:r>
    </w:p>
    <w:p w:rsidR="007D2C2F" w:rsidRPr="00A407E4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1001 «Пенсионное обеспечение»: </w:t>
      </w:r>
      <w:r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доплаты к пенсиям муниципальных служащих в</w:t>
      </w:r>
      <w:r w:rsidR="00A407E4"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43B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407E4"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</w:t>
      </w:r>
      <w:r w:rsid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</w:t>
      </w:r>
      <w:r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7E4"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5000,0 </w:t>
      </w:r>
      <w:r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2242F3" w:rsidRPr="00A407E4" w:rsidRDefault="007D2C2F" w:rsidP="0027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1003 «Социальное обеспечение населения»:</w:t>
      </w:r>
      <w:r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расходы в 20</w:t>
      </w:r>
      <w:r w:rsidR="004D58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запланированы в сумме </w:t>
      </w:r>
      <w:r w:rsidR="004D58F0">
        <w:rPr>
          <w:rFonts w:ascii="Times New Roman" w:eastAsia="Times New Roman" w:hAnsi="Times New Roman" w:cs="Times New Roman"/>
          <w:sz w:val="24"/>
          <w:szCs w:val="24"/>
          <w:lang w:eastAsia="ru-RU"/>
        </w:rPr>
        <w:t>48502,1</w:t>
      </w:r>
      <w:r w:rsidR="00A407E4"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(+</w:t>
      </w:r>
      <w:r w:rsidR="004D58F0">
        <w:rPr>
          <w:rFonts w:ascii="Times New Roman" w:eastAsia="Times New Roman" w:hAnsi="Times New Roman" w:cs="Times New Roman"/>
          <w:sz w:val="24"/>
          <w:szCs w:val="24"/>
          <w:lang w:eastAsia="ru-RU"/>
        </w:rPr>
        <w:t>3976,2</w:t>
      </w:r>
      <w:r w:rsidR="00A407E4"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E24E27" w:rsidRPr="00E24E27" w:rsidRDefault="00E24E27" w:rsidP="00E24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- п</w:t>
      </w:r>
      <w:r w:rsidRPr="00E24E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E24E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рабочих поселках на территории Волгоградской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в сумме </w:t>
      </w:r>
      <w:r w:rsidR="00276F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1494,2 (-829,0)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24E27" w:rsidRDefault="00E24E27" w:rsidP="00E24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- п</w:t>
      </w:r>
      <w:r w:rsidRPr="00E24E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пункта, рабочих поселках (поселках городского типа) в Волгоградской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сумме </w:t>
      </w:r>
      <w:r w:rsidR="00EB0D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103,8 </w:t>
      </w:r>
      <w:r w:rsidR="00500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(+4,2)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55F82" w:rsidRPr="00455F82" w:rsidRDefault="00455F82" w:rsidP="00E24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</w:t>
      </w:r>
      <w:proofErr w:type="gramStart"/>
      <w:r w:rsidRPr="00455F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оплату</w:t>
      </w:r>
      <w:r w:rsidRPr="00455F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пунктах, рабочих поселках (поселках городского типа) на территории Волгоградской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сумме </w:t>
      </w:r>
      <w:r w:rsidRPr="00455F82">
        <w:rPr>
          <w:rFonts w:ascii="Times New Roman" w:eastAsia="Times New Roman" w:hAnsi="Times New Roman" w:cs="Times New Roman"/>
          <w:sz w:val="24"/>
          <w:szCs w:val="24"/>
          <w:lang w:eastAsia="ru-RU"/>
        </w:rPr>
        <w:t>4262,4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D85853" w:rsidRPr="00D85853" w:rsidRDefault="00507042" w:rsidP="00D858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- п</w:t>
      </w:r>
      <w:r w:rsidRPr="005070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редоставление гражданам  субсидий на оплату жилого помещения и коммунальных услуг</w:t>
      </w:r>
      <w:r w:rsidR="00D858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сумме </w:t>
      </w:r>
      <w:r w:rsidRPr="005070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00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42641,7 (+7134,8)</w:t>
      </w:r>
      <w:r w:rsid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D2C2F" w:rsidRDefault="007D2C2F" w:rsidP="003F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65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1004 «Охрана семьи и детства» </w:t>
      </w:r>
      <w:r w:rsidRP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запланированы в сумме</w:t>
      </w:r>
      <w:r w:rsidR="0022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39603,8</w:t>
      </w:r>
      <w:r w:rsidR="00F659EC" w:rsidRP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242F3">
        <w:rPr>
          <w:rFonts w:ascii="Times New Roman" w:eastAsia="Times New Roman" w:hAnsi="Times New Roman" w:cs="Times New Roman"/>
          <w:sz w:val="24"/>
          <w:szCs w:val="24"/>
          <w:lang w:eastAsia="ru-RU"/>
        </w:rPr>
        <w:t>-3576,6</w:t>
      </w:r>
      <w:r w:rsidR="00F659EC" w:rsidRP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Предусмотрены расходы </w:t>
      </w:r>
      <w:proofErr w:type="gramStart"/>
      <w:r w:rsidRP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08F0" w:rsidRDefault="007308F0" w:rsidP="007308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-компенсацию части родительской платы за содержание ребенка в муниципальном дошкольном образовательном учреждении в сумме 12715,4 тыс. рублей;</w:t>
      </w:r>
    </w:p>
    <w:p w:rsidR="00242F8A" w:rsidRDefault="00242F8A" w:rsidP="007308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вознаграждение за труд приемным родителям и предоставление им мер социальной поддержки 8502,2 тыс. рублей;</w:t>
      </w:r>
    </w:p>
    <w:p w:rsidR="00242F8A" w:rsidRPr="004D58F0" w:rsidRDefault="00242F8A" w:rsidP="007308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выплата пособий по опеке и попечительству 18386,2 тыс. рублей;</w:t>
      </w:r>
    </w:p>
    <w:p w:rsidR="007308F0" w:rsidRDefault="007308F0" w:rsidP="003F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1A6" w:rsidRDefault="00F659EC" w:rsidP="005561A6">
      <w:pPr>
        <w:spacing w:after="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ru-RU"/>
        </w:rPr>
        <w:lastRenderedPageBreak/>
        <w:t xml:space="preserve">         </w:t>
      </w:r>
      <w:r w:rsidRPr="00F659EC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1006 «Другие вопросы в области социальной политики»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расходы запланированы в сумме </w:t>
      </w:r>
      <w:r w:rsidR="007308F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6870,3 (+506,2)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тыс. рублей</w:t>
      </w:r>
      <w:r w:rsidR="005561A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:</w:t>
      </w:r>
    </w:p>
    <w:p w:rsidR="00242F8A" w:rsidRDefault="005561A6" w:rsidP="00242F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       </w:t>
      </w:r>
      <w:r w:rsidRPr="005561A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на </w:t>
      </w:r>
      <w:r w:rsidR="00C440B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содержание аппарата по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рганизаци</w:t>
      </w:r>
      <w:r w:rsidR="00C44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5561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осуществлени</w:t>
      </w:r>
      <w:r w:rsidR="00C44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5561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по опеке и попечительству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сумме </w:t>
      </w:r>
      <w:r w:rsidR="002E54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3441,0 (+130,0)</w:t>
      </w:r>
      <w:r w:rsidR="0024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E5468" w:rsidRPr="00242F8A" w:rsidRDefault="00242F8A" w:rsidP="00242F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 содержание аппарата по п</w:t>
      </w:r>
      <w:r w:rsidR="005561A6" w:rsidRPr="005561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редоставлени</w:t>
      </w:r>
      <w:r w:rsidR="005561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="005561A6" w:rsidRPr="005561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гражданам  субсидий на оплату жилого пом</w:t>
      </w:r>
      <w:r w:rsidR="002E54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ещения и коммунальных услуг 3429,3 тыс. рублей.</w:t>
      </w:r>
      <w:r w:rsidR="004D58F0" w:rsidRPr="004D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5468" w:rsidRDefault="002E5468" w:rsidP="004D58F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C2F" w:rsidRPr="00095C05" w:rsidRDefault="007D2C2F" w:rsidP="00F659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7D2C2F" w:rsidRPr="00095C05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95C0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«Физическая культура и спорт»</w:t>
      </w:r>
    </w:p>
    <w:p w:rsidR="007D2C2F" w:rsidRPr="00095C05" w:rsidRDefault="007D2C2F" w:rsidP="007D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C2F" w:rsidRPr="00095C05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 расходы городского бюджета по разделу «Физи</w:t>
      </w:r>
      <w:r w:rsidR="00095C05"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культура и спорт» на 20</w:t>
      </w:r>
      <w:r w:rsidR="00355A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объеме </w:t>
      </w:r>
      <w:r w:rsidR="0035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57863,8 </w:t>
      </w:r>
      <w:r w:rsidR="00095C05"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55A1E">
        <w:rPr>
          <w:rFonts w:ascii="Times New Roman" w:eastAsia="Times New Roman" w:hAnsi="Times New Roman" w:cs="Times New Roman"/>
          <w:sz w:val="24"/>
          <w:szCs w:val="24"/>
          <w:lang w:eastAsia="ru-RU"/>
        </w:rPr>
        <w:t>+15617,1</w:t>
      </w:r>
      <w:r w:rsidR="00095C05"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тыс., в 20</w:t>
      </w:r>
      <w:r w:rsidR="00095C05"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5A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5C05"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35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35644,6 </w:t>
      </w:r>
      <w:r w:rsidR="00095C05"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(-</w:t>
      </w:r>
      <w:r w:rsidR="00355A1E">
        <w:rPr>
          <w:rFonts w:ascii="Times New Roman" w:eastAsia="Times New Roman" w:hAnsi="Times New Roman" w:cs="Times New Roman"/>
          <w:sz w:val="24"/>
          <w:szCs w:val="24"/>
          <w:lang w:eastAsia="ru-RU"/>
        </w:rPr>
        <w:t>844,6</w:t>
      </w:r>
      <w:r w:rsidR="00095C05"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202</w:t>
      </w:r>
      <w:r w:rsidR="00355A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расходы предусмотрены в сумме</w:t>
      </w:r>
      <w:r w:rsidR="0035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36043,7</w:t>
      </w:r>
      <w:r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A1E">
        <w:rPr>
          <w:rFonts w:ascii="Times New Roman" w:eastAsia="Times New Roman" w:hAnsi="Times New Roman" w:cs="Times New Roman"/>
          <w:sz w:val="24"/>
          <w:szCs w:val="24"/>
          <w:lang w:eastAsia="ru-RU"/>
        </w:rPr>
        <w:t>(+983,2</w:t>
      </w:r>
      <w:r w:rsidR="00095C05"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7D2C2F" w:rsidRPr="00AC24F7" w:rsidRDefault="007D2C2F" w:rsidP="007D2C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33869C90" wp14:editId="4E312205">
            <wp:extent cx="5495925" cy="3209925"/>
            <wp:effectExtent l="0" t="0" r="9525" b="9525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D2C2F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Pr="0024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2477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1101 «Физическая культура»</w:t>
      </w:r>
      <w:r w:rsidRPr="0024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</w:t>
      </w:r>
      <w:r w:rsidR="006D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Pr="0024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4860B7">
        <w:rPr>
          <w:rFonts w:ascii="Times New Roman" w:eastAsia="Times New Roman" w:hAnsi="Times New Roman" w:cs="Times New Roman"/>
          <w:sz w:val="24"/>
          <w:szCs w:val="24"/>
          <w:lang w:eastAsia="ru-RU"/>
        </w:rPr>
        <w:t>17552,8 (-8191,9)</w:t>
      </w:r>
      <w:r w:rsidR="0024776F" w:rsidRPr="0024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7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в 20</w:t>
      </w:r>
      <w:r w:rsidR="004860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4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т. ч.:</w:t>
      </w:r>
    </w:p>
    <w:p w:rsidR="00942490" w:rsidRPr="00942490" w:rsidRDefault="00942490" w:rsidP="00942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укреплению пожарной безопасности  в сумме 24,3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220EBC" w:rsidRPr="00942490" w:rsidRDefault="00220EBC" w:rsidP="00220E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субсидии на финансовое обеспечение выполнения муниципальным бюджетным учреждением «Спортивная школа» муниципального задания в сумме 17000,0 тыс. рублей;</w:t>
      </w:r>
    </w:p>
    <w:p w:rsidR="00220EBC" w:rsidRPr="00942490" w:rsidRDefault="00220EBC" w:rsidP="00220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мероприятий по ФК и спорту спортивными школами в сумме 300,0 тыс. рублей;</w:t>
      </w:r>
    </w:p>
    <w:p w:rsidR="00942490" w:rsidRPr="009269B7" w:rsidRDefault="00220EBC" w:rsidP="009269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повышению безопасности и антитеррористической защищенности спортивных школ в сумме 228,5</w:t>
      </w:r>
      <w:r w:rsidR="0092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7D2C2F" w:rsidRPr="00EC451D" w:rsidRDefault="007D2C2F" w:rsidP="00DB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 подразделу </w:t>
      </w:r>
      <w:r w:rsidRPr="00EC4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1102 «Массовый спорт»</w:t>
      </w:r>
      <w:r w:rsidRPr="00EC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бюджетные ассигнования в сумме</w:t>
      </w:r>
      <w:r w:rsidR="00EC451D" w:rsidRPr="00EC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AF2">
        <w:rPr>
          <w:rFonts w:ascii="Times New Roman" w:eastAsia="Times New Roman" w:hAnsi="Times New Roman" w:cs="Times New Roman"/>
          <w:sz w:val="24"/>
          <w:szCs w:val="24"/>
          <w:lang w:eastAsia="ru-RU"/>
        </w:rPr>
        <w:t>40311,0 (+23779</w:t>
      </w:r>
      <w:r w:rsidR="00EC451D" w:rsidRPr="00EC45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20</w:t>
      </w:r>
      <w:r w:rsidR="00255A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451D" w:rsidRPr="00EC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A935BF" w:rsidRDefault="00A935BF" w:rsidP="00A935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содействию занятости на временное трудоустройство несовершеннолетних граждан в сумме 336,0 </w:t>
      </w:r>
      <w:r w:rsidRPr="00A9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(+4,0)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834659" w:rsidRPr="00942490" w:rsidRDefault="00834659" w:rsidP="008346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</w:t>
      </w:r>
      <w:r w:rsidRPr="009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</w:t>
      </w:r>
      <w:proofErr w:type="gramStart"/>
      <w:r w:rsidRPr="009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proofErr w:type="gramEnd"/>
      <w:r w:rsidRPr="009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финансовое обеспечение выполнения муниципальным автономным учреждением «Центр физической культуры и спорта» муниципального задания в сумме 16000,0 тыс. рублей;</w:t>
      </w:r>
    </w:p>
    <w:p w:rsidR="00834659" w:rsidRPr="00942490" w:rsidRDefault="00834659" w:rsidP="008346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9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целевой субсидии муниципальному автономному учреждению «Центр физической культуры и спорта» на проведение мероприятий по ФК и спорту и  для организации работ тренеров по ФК и спорту на сельских территориях в сумме 1825,0 тыс. рублей;</w:t>
      </w:r>
    </w:p>
    <w:p w:rsidR="00834659" w:rsidRPr="00942490" w:rsidRDefault="00834659" w:rsidP="008346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9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крытого катка с искусственным льдом в сумме 22000,0 тыс. рублей, в том числе за счет средств субсидии из областного бюджета – 20000,0 тыс. рублей;</w:t>
      </w:r>
    </w:p>
    <w:p w:rsidR="00834659" w:rsidRPr="00942490" w:rsidRDefault="00834659" w:rsidP="008346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мероприятий по ФК и спорту отделами сельских территорий в сумме 15</w:t>
      </w:r>
      <w:r w:rsidRPr="0083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 тыс. рублей.</w:t>
      </w:r>
    </w:p>
    <w:p w:rsidR="00834659" w:rsidRPr="00942490" w:rsidRDefault="00834659" w:rsidP="00A935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C2F" w:rsidRPr="00AC24F7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ru-RU"/>
        </w:rPr>
      </w:pPr>
    </w:p>
    <w:p w:rsidR="007D2C2F" w:rsidRPr="002C21E7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2C21E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«Средства массовой информации»</w:t>
      </w:r>
    </w:p>
    <w:p w:rsidR="007D2C2F" w:rsidRPr="002C21E7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7D2C2F" w:rsidRPr="0027206B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проекте решения бюджетные ассигнования по разделу бюджета «Средства массовой информации» предусмотрены на 20</w:t>
      </w:r>
      <w:r w:rsidR="004637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</w:t>
      </w:r>
      <w:r w:rsidR="0046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2142,6</w:t>
      </w:r>
      <w:r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(-1221,3</w:t>
      </w:r>
      <w:r w:rsidR="0027206B"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7D2C2F" w:rsidRPr="0027206B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FE99E0" wp14:editId="1F61D103">
            <wp:extent cx="5495925" cy="3209925"/>
            <wp:effectExtent l="0" t="0" r="9525" b="9525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D2C2F" w:rsidRPr="0027206B" w:rsidRDefault="007D2C2F" w:rsidP="007D2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27206B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Вся сумма бюджетных ассигнований приходится на подраздел </w:t>
      </w:r>
      <w:r w:rsidRPr="00272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1202</w:t>
      </w:r>
      <w:r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«Периодическая печать и издательства»: </w:t>
      </w:r>
      <w:r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средства на финансовое обеспечение выполнения муниципального задания муниципальным автономным учреждением периодической печати в сумме </w:t>
      </w:r>
      <w:r w:rsidR="00F90B4F">
        <w:rPr>
          <w:rFonts w:ascii="Times New Roman" w:eastAsia="Times New Roman" w:hAnsi="Times New Roman" w:cs="Times New Roman"/>
          <w:sz w:val="24"/>
          <w:szCs w:val="24"/>
          <w:lang w:eastAsia="ru-RU"/>
        </w:rPr>
        <w:t>2142,6</w:t>
      </w:r>
      <w:r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D2C2F" w:rsidRPr="00AC24F7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27206B" w:rsidRDefault="007D2C2F" w:rsidP="007D2C2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«Обслуживание государственного и муниципального долга»</w:t>
      </w:r>
    </w:p>
    <w:p w:rsidR="007D2C2F" w:rsidRPr="0027206B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9975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1301 Обслуживание внутреннего государственного и муниципального долга»</w:t>
      </w:r>
      <w:r w:rsidRPr="0099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расходы в сумме</w:t>
      </w:r>
      <w:r w:rsidR="009975BE" w:rsidRPr="0099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91">
        <w:rPr>
          <w:rFonts w:ascii="Times New Roman" w:eastAsia="Times New Roman" w:hAnsi="Times New Roman" w:cs="Times New Roman"/>
          <w:sz w:val="24"/>
          <w:szCs w:val="24"/>
          <w:lang w:eastAsia="ru-RU"/>
        </w:rPr>
        <w:t>3500,0</w:t>
      </w:r>
      <w:r w:rsidRPr="0099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20</w:t>
      </w:r>
      <w:r w:rsidR="00E67F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9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  <w:r w:rsidR="00E67F91">
        <w:rPr>
          <w:rFonts w:ascii="Times New Roman" w:eastAsia="Times New Roman" w:hAnsi="Times New Roman" w:cs="Times New Roman"/>
          <w:sz w:val="24"/>
          <w:szCs w:val="24"/>
          <w:lang w:eastAsia="ru-RU"/>
        </w:rPr>
        <w:t>3299,3</w:t>
      </w:r>
      <w:r w:rsidR="009975BE" w:rsidRPr="0099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202</w:t>
      </w:r>
      <w:r w:rsidR="00E67F91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году.</w:t>
      </w:r>
    </w:p>
    <w:p w:rsidR="007D2C2F" w:rsidRPr="00F62B10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Согласно требованиям ст.111 Бюджетного кодекса Российской Федерации объем расходов на обслуживание муниципального долга в очередном финансовом году и плановом периоде не должен превышать 15% объема расходов соответствующего бюджета, за исключением объема расходов, которые осуществляются за счет субвенций, </w:t>
      </w:r>
      <w:r w:rsidRPr="00F62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предоставляемых из бюджетов бюджетной системы РФ. При проведении анализа планируемых расходов на обслуживание муниципального долга на 20</w:t>
      </w:r>
      <w:r w:rsidR="009C28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178" w:rsidRPr="00F6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9C28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2B1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C28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нарушений требований ст.111 Бюджетного кодекса Российской Федерации не установлено.</w:t>
      </w:r>
    </w:p>
    <w:p w:rsidR="007D2C2F" w:rsidRPr="00AC24F7" w:rsidRDefault="007D2C2F" w:rsidP="007D2C2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37ACF" w:rsidRDefault="00237ACF" w:rsidP="007D2C2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7ACF" w:rsidRDefault="00237ACF" w:rsidP="007D2C2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2C2F" w:rsidRPr="00F62B10" w:rsidRDefault="007D2C2F" w:rsidP="007D2C2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2B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 муниципальных внутренних заимствований</w:t>
      </w:r>
    </w:p>
    <w:p w:rsidR="007D2C2F" w:rsidRPr="00AC24F7" w:rsidRDefault="007D2C2F" w:rsidP="007D2C2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2C2F" w:rsidRPr="00872A43" w:rsidRDefault="007D2C2F" w:rsidP="00237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A43">
        <w:rPr>
          <w:rFonts w:ascii="Times New Roman" w:eastAsia="Calibri" w:hAnsi="Times New Roman" w:cs="Times New Roman"/>
          <w:sz w:val="24"/>
          <w:szCs w:val="24"/>
          <w:lang w:eastAsia="ru-RU"/>
        </w:rPr>
        <w:t>В программе муниципальных внутренних заимствований на 20</w:t>
      </w:r>
      <w:r w:rsidR="00237AC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872A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предусматривается  погашение основного долга по кредиту  в объеме 1</w:t>
      </w:r>
      <w:r w:rsidR="00872A43" w:rsidRPr="00872A43">
        <w:rPr>
          <w:rFonts w:ascii="Times New Roman" w:eastAsia="Calibri" w:hAnsi="Times New Roman" w:cs="Times New Roman"/>
          <w:sz w:val="24"/>
          <w:szCs w:val="24"/>
          <w:lang w:eastAsia="ru-RU"/>
        </w:rPr>
        <w:t>8336,0</w:t>
      </w:r>
      <w:r w:rsidR="0023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</w:t>
      </w:r>
      <w:r w:rsidR="00237ACF" w:rsidRPr="0023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37ACF" w:rsidRPr="00D517FC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прогнозируемого остатка на счете бюджета на   01 января 202</w:t>
      </w:r>
      <w:r w:rsidR="00237AC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37ACF" w:rsidRPr="00D51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</w:p>
    <w:p w:rsidR="007D2C2F" w:rsidRPr="00D517FC" w:rsidRDefault="007D2C2F" w:rsidP="007D2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программе муниципальных </w:t>
      </w:r>
      <w:r w:rsidR="00237ACF"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внутренних заимствований на 2021</w:t>
      </w:r>
      <w:r w:rsidRPr="00D51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предусматривается  погашение основного долга по кредиту  в объеме 1</w:t>
      </w:r>
      <w:r w:rsidR="00943613" w:rsidRPr="00D517FC">
        <w:rPr>
          <w:rFonts w:ascii="Times New Roman" w:eastAsia="Calibri" w:hAnsi="Times New Roman" w:cs="Times New Roman"/>
          <w:sz w:val="24"/>
          <w:szCs w:val="24"/>
          <w:lang w:eastAsia="ru-RU"/>
        </w:rPr>
        <w:t>8336,0</w:t>
      </w:r>
      <w:r w:rsidR="0023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</w:t>
      </w:r>
    </w:p>
    <w:p w:rsidR="007D2C2F" w:rsidRPr="00B7593C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учетом требований Бюджетного кодекса Российской Федерации установлены предельные показатели муниципального долга городского округа:</w:t>
      </w:r>
    </w:p>
    <w:p w:rsidR="007D2C2F" w:rsidRPr="00B7593C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предельный объем муниципального долга городского округа на 20</w:t>
      </w:r>
      <w:r w:rsidR="00237A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7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</w:t>
      </w:r>
      <w:r w:rsidR="00B7593C" w:rsidRPr="00B75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 100000,0 тыс. рублей, на 202</w:t>
      </w:r>
      <w:r w:rsidR="00237A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100000,0 тыс. рублей, на 202</w:t>
      </w:r>
      <w:r w:rsidR="00237A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100000,0 тыс. рублей;</w:t>
      </w:r>
    </w:p>
    <w:p w:rsidR="007D2C2F" w:rsidRPr="008E0BDB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верхний предел муниципального долга по состоянию на 01 января 20</w:t>
      </w:r>
      <w:r w:rsidR="008E0BDB"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20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B220F4">
        <w:rPr>
          <w:rFonts w:ascii="Times New Roman" w:eastAsia="Times New Roman" w:hAnsi="Times New Roman" w:cs="Times New Roman"/>
          <w:sz w:val="24"/>
          <w:szCs w:val="24"/>
          <w:lang w:eastAsia="ru-RU"/>
        </w:rPr>
        <w:t>18328,0</w:t>
      </w:r>
      <w:r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 гарантиям – 0,0  тыс. рублей, на 1 января 202</w:t>
      </w:r>
      <w:r w:rsidR="00B220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B220F4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 гарантиям – 0,0  тыс. рублей, на 1 января 202</w:t>
      </w:r>
      <w:r w:rsidR="00B220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– 0,0 тыс. рублей, в том числе верхний</w:t>
      </w:r>
      <w:proofErr w:type="gramEnd"/>
      <w:r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долга по муниципальным  гарантиям – 0,0  тыс. рублей.</w:t>
      </w:r>
    </w:p>
    <w:p w:rsidR="00BA423E" w:rsidRDefault="00A62339" w:rsidP="00BA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BA42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BA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ст. 107</w:t>
      </w:r>
      <w:r w:rsidR="007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 определяет, что при составлении, утверждении и исполнении бюджетов, начиная с бюджетов на 2020 год, </w:t>
      </w:r>
      <w:r w:rsidR="00BA423E">
        <w:rPr>
          <w:rFonts w:ascii="Times New Roman" w:hAnsi="Times New Roman" w:cs="Times New Roman"/>
          <w:sz w:val="24"/>
          <w:szCs w:val="24"/>
        </w:rPr>
        <w:t>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</w:t>
      </w:r>
      <w:proofErr w:type="gramEnd"/>
      <w:r w:rsidR="00BA423E">
        <w:rPr>
          <w:rFonts w:ascii="Times New Roman" w:hAnsi="Times New Roman" w:cs="Times New Roman"/>
          <w:sz w:val="24"/>
          <w:szCs w:val="24"/>
        </w:rPr>
        <w:t xml:space="preserve">, следующего за очередным финансовым годом), с </w:t>
      </w:r>
      <w:proofErr w:type="gramStart"/>
      <w:r w:rsidR="00BA423E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="00BA423E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DC321D" w:rsidRDefault="00DC321D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7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п. 4 проекта решения указан «верхний предел муниципального долга» без конкретизации вида долга («внешний» или «внутренний»)</w:t>
      </w:r>
      <w:r w:rsidR="00BA42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«верхний предел долга по муниципальным гарантиям» без конкретизации вида долга («</w:t>
      </w:r>
      <w:r w:rsidR="00BA423E">
        <w:rPr>
          <w:rFonts w:ascii="Times New Roman" w:hAnsi="Times New Roman" w:cs="Times New Roman"/>
          <w:sz w:val="24"/>
          <w:szCs w:val="24"/>
        </w:rPr>
        <w:t>верхнего предела долга по муниципальным гарантиям в валюте Российской Федерации» или  «верхнего предела долга по муниципальным гарантиям в иностранной валюте»)</w:t>
      </w:r>
      <w:r w:rsidR="0087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 соответствует требованиям статьи </w:t>
      </w:r>
      <w:r w:rsidR="00BA423E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87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РФ.</w:t>
      </w:r>
      <w:proofErr w:type="gramEnd"/>
    </w:p>
    <w:p w:rsidR="00A62339" w:rsidRPr="00EC20C7" w:rsidRDefault="00A62339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КСК предлагает внести корректировки в текстовую часть проекта решения.</w:t>
      </w:r>
    </w:p>
    <w:p w:rsidR="007D2C2F" w:rsidRPr="00EC20C7" w:rsidRDefault="007D2C2F" w:rsidP="007D2C2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0C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1"/>
        <w:gridCol w:w="1713"/>
        <w:gridCol w:w="1836"/>
        <w:gridCol w:w="1780"/>
      </w:tblGrid>
      <w:tr w:rsidR="007D2C2F" w:rsidRPr="00EC20C7" w:rsidTr="000E1DEF">
        <w:trPr>
          <w:trHeight w:val="330"/>
        </w:trPr>
        <w:tc>
          <w:tcPr>
            <w:tcW w:w="2216" w:type="pct"/>
            <w:shd w:val="clear" w:color="auto" w:fill="FFFFFF" w:themeFill="background1"/>
            <w:noWrap/>
            <w:hideMark/>
          </w:tcPr>
          <w:p w:rsidR="007D2C2F" w:rsidRPr="00EC20C7" w:rsidRDefault="007D2C2F" w:rsidP="0045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  <w:p w:rsidR="007D2C2F" w:rsidRPr="00EC20C7" w:rsidRDefault="007D2C2F" w:rsidP="0045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5" w:type="pct"/>
            <w:shd w:val="clear" w:color="auto" w:fill="FFFFFF" w:themeFill="background1"/>
            <w:noWrap/>
            <w:hideMark/>
          </w:tcPr>
          <w:p w:rsidR="007D2C2F" w:rsidRPr="00EC20C7" w:rsidRDefault="007D2C2F" w:rsidP="00B9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B93A08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EC20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959" w:type="pct"/>
            <w:shd w:val="clear" w:color="auto" w:fill="FFFFFF" w:themeFill="background1"/>
            <w:noWrap/>
            <w:hideMark/>
          </w:tcPr>
          <w:p w:rsidR="007D2C2F" w:rsidRPr="00EC20C7" w:rsidRDefault="007D2C2F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B93A08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Pr="00EC20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930" w:type="pct"/>
            <w:shd w:val="clear" w:color="auto" w:fill="FFFFFF" w:themeFill="background1"/>
            <w:noWrap/>
            <w:hideMark/>
          </w:tcPr>
          <w:p w:rsidR="007D2C2F" w:rsidRPr="00EC20C7" w:rsidRDefault="007D2C2F" w:rsidP="00B9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B93A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EC20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7D2C2F" w:rsidRPr="00EC20C7" w:rsidTr="000E1DEF">
        <w:trPr>
          <w:trHeight w:val="330"/>
        </w:trPr>
        <w:tc>
          <w:tcPr>
            <w:tcW w:w="2216" w:type="pct"/>
            <w:shd w:val="clear" w:color="auto" w:fill="FFFFFF" w:themeFill="background1"/>
            <w:noWrap/>
          </w:tcPr>
          <w:p w:rsidR="007D2C2F" w:rsidRPr="00EC20C7" w:rsidRDefault="007D2C2F" w:rsidP="00456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 xml:space="preserve">Доходы </w:t>
            </w:r>
          </w:p>
        </w:tc>
        <w:tc>
          <w:tcPr>
            <w:tcW w:w="895" w:type="pct"/>
            <w:shd w:val="clear" w:color="auto" w:fill="FFFFFF" w:themeFill="background1"/>
            <w:noWrap/>
          </w:tcPr>
          <w:p w:rsidR="007D2C2F" w:rsidRPr="00EC20C7" w:rsidRDefault="000E1DEF" w:rsidP="0076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01CB">
              <w:rPr>
                <w:rFonts w:ascii="Times New Roman" w:eastAsia="Times New Roman" w:hAnsi="Times New Roman" w:cs="Times New Roman"/>
                <w:lang w:eastAsia="ru-RU"/>
              </w:rPr>
              <w:t>577535,9</w:t>
            </w:r>
          </w:p>
        </w:tc>
        <w:tc>
          <w:tcPr>
            <w:tcW w:w="959" w:type="pct"/>
            <w:shd w:val="clear" w:color="auto" w:fill="FFFFFF" w:themeFill="background1"/>
            <w:noWrap/>
          </w:tcPr>
          <w:p w:rsidR="007D2C2F" w:rsidRPr="00EC20C7" w:rsidRDefault="007601CB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1776369,5</w:t>
            </w:r>
          </w:p>
        </w:tc>
        <w:tc>
          <w:tcPr>
            <w:tcW w:w="930" w:type="pct"/>
            <w:shd w:val="clear" w:color="auto" w:fill="FFFFFF" w:themeFill="background1"/>
            <w:noWrap/>
          </w:tcPr>
          <w:p w:rsidR="007D2C2F" w:rsidRPr="00EC20C7" w:rsidRDefault="000E1DEF" w:rsidP="0076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601CB">
              <w:rPr>
                <w:rFonts w:ascii="Times New Roman" w:eastAsia="Times New Roman" w:hAnsi="Times New Roman" w:cs="Times New Roman"/>
                <w:lang w:eastAsia="ru-RU"/>
              </w:rPr>
              <w:t>96597,5</w:t>
            </w:r>
          </w:p>
        </w:tc>
      </w:tr>
      <w:tr w:rsidR="007D2C2F" w:rsidRPr="00EC20C7" w:rsidTr="000E1DEF">
        <w:trPr>
          <w:trHeight w:val="330"/>
        </w:trPr>
        <w:tc>
          <w:tcPr>
            <w:tcW w:w="2216" w:type="pct"/>
            <w:shd w:val="clear" w:color="auto" w:fill="FFFFFF" w:themeFill="background1"/>
            <w:noWrap/>
          </w:tcPr>
          <w:p w:rsidR="007D2C2F" w:rsidRPr="00EC20C7" w:rsidRDefault="007D2C2F" w:rsidP="00456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895" w:type="pct"/>
            <w:shd w:val="clear" w:color="auto" w:fill="FFFFFF" w:themeFill="background1"/>
            <w:noWrap/>
          </w:tcPr>
          <w:p w:rsidR="007D2C2F" w:rsidRPr="00EC20C7" w:rsidRDefault="00CA1F9C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830827,5</w:t>
            </w:r>
          </w:p>
        </w:tc>
        <w:tc>
          <w:tcPr>
            <w:tcW w:w="959" w:type="pct"/>
            <w:shd w:val="clear" w:color="auto" w:fill="FFFFFF" w:themeFill="background1"/>
            <w:noWrap/>
          </w:tcPr>
          <w:p w:rsidR="007D2C2F" w:rsidRPr="00EC20C7" w:rsidRDefault="00CA1F9C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1073168,4</w:t>
            </w:r>
          </w:p>
        </w:tc>
        <w:tc>
          <w:tcPr>
            <w:tcW w:w="930" w:type="pct"/>
            <w:shd w:val="clear" w:color="auto" w:fill="FFFFFF" w:themeFill="background1"/>
            <w:noWrap/>
          </w:tcPr>
          <w:p w:rsidR="007D2C2F" w:rsidRPr="00EC20C7" w:rsidRDefault="00CA1F9C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885324,2</w:t>
            </w:r>
          </w:p>
        </w:tc>
      </w:tr>
      <w:tr w:rsidR="007D2C2F" w:rsidRPr="00EC20C7" w:rsidTr="000E1DEF">
        <w:trPr>
          <w:trHeight w:val="315"/>
        </w:trPr>
        <w:tc>
          <w:tcPr>
            <w:tcW w:w="2216" w:type="pct"/>
            <w:shd w:val="clear" w:color="auto" w:fill="auto"/>
            <w:vAlign w:val="bottom"/>
            <w:hideMark/>
          </w:tcPr>
          <w:p w:rsidR="007D2C2F" w:rsidRPr="00EC20C7" w:rsidRDefault="007D2C2F" w:rsidP="00456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7D2C2F" w:rsidRPr="00EC20C7" w:rsidRDefault="00CA1F9C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746708,4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7D2C2F" w:rsidRPr="00EC20C7" w:rsidRDefault="00CA1F9C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703201,1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2F" w:rsidRPr="00EC20C7" w:rsidRDefault="00CA1F9C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711273,3</w:t>
            </w:r>
          </w:p>
        </w:tc>
      </w:tr>
      <w:tr w:rsidR="007D2C2F" w:rsidRPr="00EC20C7" w:rsidTr="000E1DEF">
        <w:trPr>
          <w:trHeight w:val="315"/>
        </w:trPr>
        <w:tc>
          <w:tcPr>
            <w:tcW w:w="2216" w:type="pct"/>
            <w:shd w:val="clear" w:color="auto" w:fill="auto"/>
            <w:vAlign w:val="bottom"/>
          </w:tcPr>
          <w:p w:rsidR="007D2C2F" w:rsidRPr="00EC20C7" w:rsidRDefault="007D2C2F" w:rsidP="00456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Муниципальный долг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7D2C2F" w:rsidRPr="00EC20C7" w:rsidRDefault="00CA1F9C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36664,0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7D2C2F" w:rsidRPr="00EC20C7" w:rsidRDefault="00CA1F9C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18328,0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2F" w:rsidRPr="00EC20C7" w:rsidRDefault="00CA1F9C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2C2F" w:rsidRPr="00EC20C7" w:rsidTr="000E1DEF">
        <w:trPr>
          <w:trHeight w:val="124"/>
        </w:trPr>
        <w:tc>
          <w:tcPr>
            <w:tcW w:w="2216" w:type="pct"/>
            <w:shd w:val="clear" w:color="auto" w:fill="auto"/>
            <w:vAlign w:val="bottom"/>
            <w:hideMark/>
          </w:tcPr>
          <w:p w:rsidR="007D2C2F" w:rsidRPr="00EC20C7" w:rsidRDefault="007D2C2F" w:rsidP="00456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 xml:space="preserve">Верхний предел муниципального долга 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7D2C2F" w:rsidRPr="00EC20C7" w:rsidRDefault="00CA1F9C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18328,0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7D2C2F" w:rsidRPr="00EC20C7" w:rsidRDefault="00CA1F9C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2F" w:rsidRPr="00EC20C7" w:rsidRDefault="00AD558C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A3192" w:rsidRPr="00EC20C7" w:rsidTr="000E1DEF">
        <w:trPr>
          <w:trHeight w:val="124"/>
        </w:trPr>
        <w:tc>
          <w:tcPr>
            <w:tcW w:w="2216" w:type="pct"/>
            <w:shd w:val="clear" w:color="auto" w:fill="auto"/>
            <w:vAlign w:val="bottom"/>
          </w:tcPr>
          <w:p w:rsidR="008A3192" w:rsidRPr="00EC20C7" w:rsidRDefault="008A3192" w:rsidP="00456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 xml:space="preserve">Контингент НДФЛ (по Закону </w:t>
            </w:r>
            <w:proofErr w:type="gramStart"/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8A3192" w:rsidRPr="00EC20C7" w:rsidRDefault="00B77C26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802520,0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8A3192" w:rsidRPr="00EC20C7" w:rsidRDefault="00B77C26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818570,0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8A3192" w:rsidRPr="00EC20C7" w:rsidRDefault="00B77C26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834941,0</w:t>
            </w:r>
          </w:p>
        </w:tc>
      </w:tr>
      <w:tr w:rsidR="007D2C2F" w:rsidRPr="00EC20C7" w:rsidTr="000E1DEF">
        <w:trPr>
          <w:trHeight w:val="124"/>
        </w:trPr>
        <w:tc>
          <w:tcPr>
            <w:tcW w:w="2216" w:type="pct"/>
            <w:shd w:val="clear" w:color="auto" w:fill="auto"/>
            <w:vAlign w:val="bottom"/>
          </w:tcPr>
          <w:p w:rsidR="007D2C2F" w:rsidRPr="00EC20C7" w:rsidRDefault="00E80A4B" w:rsidP="00456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НДФЛ </w:t>
            </w:r>
            <w:r w:rsidR="007D2C2F" w:rsidRPr="00EC20C7">
              <w:rPr>
                <w:rFonts w:ascii="Times New Roman" w:eastAsia="Times New Roman" w:hAnsi="Times New Roman" w:cs="Times New Roman"/>
                <w:lang w:eastAsia="ru-RU"/>
              </w:rPr>
              <w:t xml:space="preserve">по дополнительным нормативам отчислений (по Закону </w:t>
            </w:r>
            <w:proofErr w:type="gramStart"/>
            <w:r w:rsidR="007D2C2F" w:rsidRPr="00EC20C7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="007D2C2F" w:rsidRPr="00EC20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7D2C2F" w:rsidRPr="00EC20C7" w:rsidRDefault="00B77C26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274863,1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7D2C2F" w:rsidRPr="00EC20C7" w:rsidRDefault="00B77C26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274793,9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2F" w:rsidRPr="00EC20C7" w:rsidRDefault="00B77C26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274862,5</w:t>
            </w:r>
          </w:p>
        </w:tc>
      </w:tr>
      <w:tr w:rsidR="007D2C2F" w:rsidRPr="00EC20C7" w:rsidTr="000E1DEF">
        <w:trPr>
          <w:trHeight w:val="124"/>
        </w:trPr>
        <w:tc>
          <w:tcPr>
            <w:tcW w:w="2216" w:type="pct"/>
            <w:shd w:val="clear" w:color="auto" w:fill="auto"/>
            <w:vAlign w:val="bottom"/>
          </w:tcPr>
          <w:p w:rsidR="007D2C2F" w:rsidRPr="00EC20C7" w:rsidRDefault="007D2C2F" w:rsidP="00456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норматив (по Закону </w:t>
            </w:r>
            <w:proofErr w:type="gramStart"/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7D2C2F" w:rsidRPr="00EC20C7" w:rsidRDefault="00B77C26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34,25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7D2C2F" w:rsidRPr="00EC20C7" w:rsidRDefault="00B77C26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33,57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2F" w:rsidRPr="00EC20C7" w:rsidRDefault="00B77C26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32,92</w:t>
            </w:r>
          </w:p>
        </w:tc>
      </w:tr>
      <w:tr w:rsidR="007D2C2F" w:rsidRPr="00EC20C7" w:rsidTr="000E1DEF">
        <w:trPr>
          <w:trHeight w:val="124"/>
        </w:trPr>
        <w:tc>
          <w:tcPr>
            <w:tcW w:w="2216" w:type="pct"/>
            <w:shd w:val="clear" w:color="auto" w:fill="auto"/>
            <w:vAlign w:val="bottom"/>
          </w:tcPr>
          <w:p w:rsidR="007D2C2F" w:rsidRPr="00EC20C7" w:rsidRDefault="007D2C2F" w:rsidP="00B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20C7">
              <w:rPr>
                <w:rFonts w:ascii="Times New Roman" w:hAnsi="Times New Roman" w:cs="Times New Roman"/>
              </w:rPr>
              <w:t>Общий годовой объем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7D2C2F" w:rsidRPr="00EC20C7" w:rsidRDefault="00056175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471845,3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7D2C2F" w:rsidRPr="00EC20C7" w:rsidRDefault="00056175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428407,2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2F" w:rsidRPr="00EC20C7" w:rsidRDefault="00056175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436410,8</w:t>
            </w:r>
          </w:p>
        </w:tc>
      </w:tr>
    </w:tbl>
    <w:p w:rsidR="007D2C2F" w:rsidRPr="00EC20C7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C2F" w:rsidRPr="00EC20C7" w:rsidRDefault="007D2C2F" w:rsidP="007D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0C7">
        <w:rPr>
          <w:rFonts w:ascii="Times New Roman" w:hAnsi="Times New Roman" w:cs="Times New Roman"/>
          <w:sz w:val="24"/>
          <w:szCs w:val="24"/>
        </w:rPr>
        <w:t>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D2C2F" w:rsidRPr="00EC20C7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Как видно из представленных данных, ограничение, установленное статьей 107 БК РФ</w:t>
      </w:r>
      <w:r w:rsidR="000C34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соблюдено.</w:t>
      </w:r>
    </w:p>
    <w:p w:rsidR="007D2C2F" w:rsidRPr="00EC20C7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C7" w:rsidRDefault="00EC20C7" w:rsidP="007D2C2F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0C7" w:rsidRDefault="00EC20C7" w:rsidP="007D2C2F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F" w:rsidRPr="00EC20C7" w:rsidRDefault="007D2C2F" w:rsidP="007D2C2F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выводы</w:t>
      </w:r>
    </w:p>
    <w:p w:rsidR="007D2C2F" w:rsidRPr="00C81B1B" w:rsidRDefault="007D2C2F" w:rsidP="00E3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Форми</w:t>
      </w:r>
      <w:r w:rsidR="00EC20C7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проекта  бюджета на 20</w:t>
      </w:r>
      <w:r w:rsid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EC20C7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осуществлено в соответствии с положениями Бюджетного кодекса Российской Федерации, Устава городского округа город Михайловка, Положения о контрольно-счетной комиссии городского округа город Михайловка и иными нормативными правовыми актами. </w:t>
      </w:r>
    </w:p>
    <w:p w:rsidR="007D2C2F" w:rsidRPr="00C81B1B" w:rsidRDefault="007D2C2F" w:rsidP="00E3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бюджета городского</w:t>
      </w:r>
      <w:r w:rsidR="00C81B1B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 Михайловка на 20</w:t>
      </w:r>
      <w:r w:rsidR="009B67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спрогнозированы в объеме 1</w:t>
      </w:r>
      <w:r w:rsidR="00C81B1B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67E5">
        <w:rPr>
          <w:rFonts w:ascii="Times New Roman" w:eastAsia="Times New Roman" w:hAnsi="Times New Roman" w:cs="Times New Roman"/>
          <w:sz w:val="24"/>
          <w:szCs w:val="24"/>
          <w:lang w:eastAsia="ru-RU"/>
        </w:rPr>
        <w:t>77535,9</w:t>
      </w: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на исполнение передаваемых полномочий и </w:t>
      </w:r>
      <w:proofErr w:type="spellStart"/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расходов за счет безвозмездных поступлений от других бюджетов бюджетной системы РФ </w:t>
      </w:r>
      <w:r w:rsidR="009B67E5">
        <w:rPr>
          <w:rFonts w:ascii="Times New Roman" w:eastAsia="Times New Roman" w:hAnsi="Times New Roman" w:cs="Times New Roman"/>
          <w:sz w:val="24"/>
          <w:szCs w:val="24"/>
          <w:lang w:eastAsia="ru-RU"/>
        </w:rPr>
        <w:t>830827,5</w:t>
      </w: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общий объем расходов б</w:t>
      </w:r>
      <w:r w:rsidR="00C81B1B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городского округа на 202</w:t>
      </w:r>
      <w:r w:rsidR="009B67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1</w:t>
      </w:r>
      <w:r w:rsidR="009B67E5">
        <w:rPr>
          <w:rFonts w:ascii="Times New Roman" w:eastAsia="Times New Roman" w:hAnsi="Times New Roman" w:cs="Times New Roman"/>
          <w:sz w:val="24"/>
          <w:szCs w:val="24"/>
          <w:lang w:eastAsia="ru-RU"/>
        </w:rPr>
        <w:t>1073168,4</w:t>
      </w:r>
      <w:r w:rsidR="00C81B1B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9B67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сумме  </w:t>
      </w:r>
      <w:r w:rsidR="009B67E5">
        <w:rPr>
          <w:rFonts w:ascii="Times New Roman" w:eastAsia="Times New Roman" w:hAnsi="Times New Roman" w:cs="Times New Roman"/>
          <w:sz w:val="24"/>
          <w:szCs w:val="24"/>
          <w:lang w:eastAsia="ru-RU"/>
        </w:rPr>
        <w:t>885324,2</w:t>
      </w: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End"/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</w:t>
      </w:r>
    </w:p>
    <w:p w:rsidR="005D3702" w:rsidRPr="003C399D" w:rsidRDefault="007D2C2F" w:rsidP="00E35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153C09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702"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утвержденные расходы  бюджета в проекте бюджета предусматриваются на 202</w:t>
      </w:r>
      <w:r w:rsidR="005D37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3702"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</w:t>
      </w:r>
      <w:r w:rsidR="005D3702">
        <w:rPr>
          <w:rFonts w:ascii="Times New Roman" w:eastAsia="Times New Roman" w:hAnsi="Times New Roman" w:cs="Times New Roman"/>
          <w:sz w:val="24"/>
          <w:szCs w:val="24"/>
          <w:lang w:eastAsia="ru-RU"/>
        </w:rPr>
        <w:t>7580,0</w:t>
      </w:r>
      <w:r w:rsidR="005D3702"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2,5 % общей суммы расходов, без учета межбюджетных трансфертов, имеющих целевое назначение, на 202</w:t>
      </w:r>
      <w:r w:rsidR="005D37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702"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D3702">
        <w:rPr>
          <w:rFonts w:ascii="Times New Roman" w:eastAsia="Times New Roman" w:hAnsi="Times New Roman" w:cs="Times New Roman"/>
          <w:sz w:val="24"/>
          <w:szCs w:val="24"/>
          <w:lang w:eastAsia="ru-RU"/>
        </w:rPr>
        <w:t>35563,7</w:t>
      </w:r>
      <w:r w:rsidR="005D3702"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5,0 %.   </w:t>
      </w:r>
    </w:p>
    <w:p w:rsidR="00DE0F4C" w:rsidRPr="00236CEC" w:rsidRDefault="007D2C2F" w:rsidP="00E3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</w:t>
      </w:r>
      <w:r w:rsidR="00DE0F4C" w:rsidRPr="00AC2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DE0F4C"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органов местного самоуправления городского округа определены в пределах норматива, предусмотренного постановлением Правительства Волгоградской области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</w:t>
      </w:r>
      <w:r w:rsidR="00DE0F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E0F4C"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  <w:r w:rsidR="00DE0F4C"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DE0F4C" w:rsidRPr="00236CEC">
        <w:rPr>
          <w:rFonts w:ascii="Times New Roman" w:hAnsi="Times New Roman" w:cs="Times New Roman"/>
          <w:sz w:val="24"/>
          <w:szCs w:val="24"/>
        </w:rPr>
        <w:t>асходы на содержание представительного органа местного самоуправления и контрольно-счетного органа в совокупности в объеме, не превышают 7 процентов норматива на содержание органов местного самоуправления.</w:t>
      </w:r>
    </w:p>
    <w:p w:rsidR="004B523C" w:rsidRPr="001117E5" w:rsidRDefault="007D2C2F" w:rsidP="004B523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B523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B523C"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Финансирование расходов </w:t>
      </w:r>
      <w:r w:rsidR="004B523C" w:rsidRPr="000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программы</w:t>
      </w:r>
      <w:r w:rsidR="004B523C"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4B523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523C"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определено в размере </w:t>
      </w:r>
      <w:r w:rsidR="004B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1229456,0 </w:t>
      </w:r>
      <w:r w:rsidR="004B523C"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</w:t>
      </w:r>
      <w:r w:rsidR="004B523C" w:rsidRPr="000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(что больше  на </w:t>
      </w:r>
      <w:r w:rsidR="004B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40165,4</w:t>
      </w:r>
      <w:r w:rsidR="004B523C" w:rsidRPr="000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 руб. чем в проекте бюджета на 201</w:t>
      </w:r>
      <w:r w:rsidR="004B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B523C" w:rsidRPr="000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год), в т. ч. на муниципальные </w:t>
      </w:r>
      <w:r w:rsidR="004B523C" w:rsidRPr="0011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– </w:t>
      </w:r>
      <w:r w:rsidR="004B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245684,7 </w:t>
      </w:r>
      <w:r w:rsidR="004B523C" w:rsidRPr="0011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руб., на ведомственные целевые программы – </w:t>
      </w:r>
      <w:r w:rsidR="004B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983771,3 </w:t>
      </w:r>
      <w:r w:rsidR="004B523C" w:rsidRPr="0011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="004B523C" w:rsidRPr="0011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B523C" w:rsidRDefault="004B523C" w:rsidP="004B5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0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Объем ассигнований на муниципальные и ведомственные целевые программы предусмотрен в проекте решения в размере 77,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D7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от общих расходов бюджета на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 год.</w:t>
      </w:r>
      <w:r w:rsidR="00A84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696D8B" w:rsidRDefault="00696D8B" w:rsidP="0069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Экспертиза представленных паспортов муниципальных программ и проекта бюджета показала, что потребность в финансировании, в 2020 году, выше на   232072,6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2 раза)</w:t>
      </w:r>
      <w:r w:rsidRPr="00153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планируемого проектом решения объема средств.</w:t>
      </w:r>
      <w:r w:rsidRPr="00F73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696D8B" w:rsidRPr="00153B07" w:rsidRDefault="00696D8B" w:rsidP="0069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F73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соответствии со статьей 179 БК РФ муниципальные программы подлежат приведению в соответствие с решением о бюджете не позднее трех месяцев со дня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вступления его в силу.</w:t>
      </w:r>
    </w:p>
    <w:p w:rsidR="00696D8B" w:rsidRPr="00F7307E" w:rsidRDefault="00696D8B" w:rsidP="00696D8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4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99047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</w:t>
      </w:r>
      <w:r w:rsidRPr="0099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Проверкой установлено:  в результате технической ошибки, в </w:t>
      </w:r>
      <w:r w:rsidR="003F0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проекте решения</w:t>
      </w:r>
      <w:bookmarkStart w:id="2" w:name="_GoBack"/>
      <w:bookmarkEnd w:id="2"/>
      <w:r w:rsidRPr="0099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21, 2022</w:t>
      </w:r>
      <w:r w:rsidRPr="0099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годов, предусмотрены  ассигнования по муниципальной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«Устойчивое развитие сельских территорий на 2014-2017 годы и на период до 2020 года», </w:t>
      </w:r>
      <w:r w:rsidRPr="0099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т.е. сроки реализации программы не соответствуют плановому утверждаемому периоду.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изложенного КСК предлагает учесть данное замечание при рассмотрении проекта решения.</w:t>
      </w:r>
    </w:p>
    <w:p w:rsidR="00A84F83" w:rsidRPr="00C81B1B" w:rsidRDefault="00A84F83" w:rsidP="00982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D8B" w:rsidRDefault="007D2C2F" w:rsidP="0069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</w:t>
      </w:r>
      <w:r w:rsidR="0069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 ст. 107 БК РФ определяет, что при составлении, утверждении и исполнении бюджетов, начиная с бюджетов на 2020 год, </w:t>
      </w:r>
      <w:r w:rsidR="00696D8B">
        <w:rPr>
          <w:rFonts w:ascii="Times New Roman" w:hAnsi="Times New Roman" w:cs="Times New Roman"/>
          <w:sz w:val="24"/>
          <w:szCs w:val="24"/>
        </w:rPr>
        <w:t>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</w:t>
      </w:r>
      <w:proofErr w:type="gramEnd"/>
      <w:r w:rsidR="00696D8B">
        <w:rPr>
          <w:rFonts w:ascii="Times New Roman" w:hAnsi="Times New Roman" w:cs="Times New Roman"/>
          <w:sz w:val="24"/>
          <w:szCs w:val="24"/>
        </w:rPr>
        <w:t xml:space="preserve">, следующего за очередным финансовым годом), с </w:t>
      </w:r>
      <w:proofErr w:type="gramStart"/>
      <w:r w:rsidR="00696D8B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="00696D8B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696D8B" w:rsidRDefault="00696D8B" w:rsidP="00696D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 4 проекта решения указан «верхний предел муниципального долга» без конкретизации вида долга («внешний» или «внутренний»), а также «верхний предел долга по муниципальным гарантиям» без конкретизации вида долга («</w:t>
      </w:r>
      <w:r>
        <w:rPr>
          <w:rFonts w:ascii="Times New Roman" w:hAnsi="Times New Roman" w:cs="Times New Roman"/>
          <w:sz w:val="24"/>
          <w:szCs w:val="24"/>
        </w:rPr>
        <w:t>верхнего предела долга по муниципальным гарантиям в валюте Российской Федерации» или  «верхнего предела долга по муниципальным гарантиям в иностранной валюте»)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соответствует требованиям статьи 107 БК РФ.</w:t>
      </w:r>
      <w:proofErr w:type="gramEnd"/>
    </w:p>
    <w:p w:rsidR="00C20B9D" w:rsidRPr="00E34B0E" w:rsidRDefault="00696D8B" w:rsidP="00EF69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КСК предлагает внести корректировки в текстовую часть проекта решения.</w:t>
      </w:r>
    </w:p>
    <w:p w:rsidR="007D2C2F" w:rsidRPr="00C20B9D" w:rsidRDefault="007D2C2F" w:rsidP="00EF6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Коррупционных положений в проекте решения не выявлено.</w:t>
      </w:r>
    </w:p>
    <w:p w:rsidR="00EF6996" w:rsidRPr="00EF6996" w:rsidRDefault="007D2C2F" w:rsidP="00EF69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Контрольно-счетная комиссия городского округа город Михайловка </w:t>
      </w:r>
      <w:r w:rsidR="00EF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  <w:r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</w:t>
      </w:r>
      <w:r w:rsidR="00EF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замечания КСК при </w:t>
      </w:r>
      <w:r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</w:t>
      </w:r>
      <w:r w:rsidR="00EF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r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EF69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«О бюджете городского</w:t>
      </w:r>
      <w:r w:rsidR="00C20B9D"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 Михайловка на 20</w:t>
      </w:r>
      <w:r w:rsidR="00696D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C20B9D"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6D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96D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EF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996" w:rsidRPr="00EF6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постоянной комиссии по бюджету, налоговой, экономической политике и предпринимательству Михайловской городск</w:t>
      </w:r>
      <w:r w:rsidR="00EF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Думы и на заседании </w:t>
      </w:r>
      <w:r w:rsidR="00EF6996" w:rsidRPr="00EF6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Михайловской городск</w:t>
      </w:r>
      <w:r w:rsidR="00EF6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Думы</w:t>
      </w:r>
      <w:r w:rsidR="00EF6996" w:rsidRPr="00EF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области.</w:t>
      </w:r>
    </w:p>
    <w:p w:rsidR="007D2C2F" w:rsidRPr="00C20B9D" w:rsidRDefault="007D2C2F" w:rsidP="007D2C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AC24F7" w:rsidRDefault="007D2C2F" w:rsidP="007D2C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</w:p>
    <w:p w:rsidR="007D2C2F" w:rsidRPr="00AC24F7" w:rsidRDefault="007D2C2F" w:rsidP="007D2C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</w:t>
      </w:r>
    </w:p>
    <w:p w:rsidR="007D2C2F" w:rsidRPr="00C20B9D" w:rsidRDefault="007D2C2F" w:rsidP="007D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КСК                                                                                            В.Г. Гудкова</w:t>
      </w:r>
    </w:p>
    <w:p w:rsidR="007D2C2F" w:rsidRPr="00C20B9D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C2F" w:rsidRPr="00C20B9D" w:rsidRDefault="007D2C2F" w:rsidP="007D2C2F"/>
    <w:p w:rsidR="007D2C2F" w:rsidRPr="00C20B9D" w:rsidRDefault="007D2C2F" w:rsidP="007D2C2F">
      <w:pPr>
        <w:rPr>
          <w:rFonts w:ascii="Times New Roman" w:hAnsi="Times New Roman" w:cs="Times New Roman"/>
          <w:sz w:val="20"/>
          <w:szCs w:val="20"/>
        </w:rPr>
      </w:pPr>
      <w:r w:rsidRPr="00C20B9D">
        <w:rPr>
          <w:rFonts w:ascii="Times New Roman" w:hAnsi="Times New Roman" w:cs="Times New Roman"/>
          <w:sz w:val="20"/>
          <w:szCs w:val="20"/>
        </w:rPr>
        <w:t>Исп. Петрова Ю.П.</w:t>
      </w:r>
    </w:p>
    <w:p w:rsidR="00916981" w:rsidRPr="00C20B9D" w:rsidRDefault="00916981"/>
    <w:sectPr w:rsidR="00916981" w:rsidRPr="00C20B9D" w:rsidSect="00336E91">
      <w:headerReference w:type="default" r:id="rId20"/>
      <w:pgSz w:w="11905" w:h="16835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CC" w:rsidRDefault="00244ECC" w:rsidP="00336E91">
      <w:pPr>
        <w:spacing w:after="0" w:line="240" w:lineRule="auto"/>
      </w:pPr>
      <w:r>
        <w:separator/>
      </w:r>
    </w:p>
  </w:endnote>
  <w:endnote w:type="continuationSeparator" w:id="0">
    <w:p w:rsidR="00244ECC" w:rsidRDefault="00244ECC" w:rsidP="0033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CC" w:rsidRDefault="00244ECC" w:rsidP="00336E91">
      <w:pPr>
        <w:spacing w:after="0" w:line="240" w:lineRule="auto"/>
      </w:pPr>
      <w:r>
        <w:separator/>
      </w:r>
    </w:p>
  </w:footnote>
  <w:footnote w:type="continuationSeparator" w:id="0">
    <w:p w:rsidR="00244ECC" w:rsidRDefault="00244ECC" w:rsidP="0033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087651"/>
      <w:docPartObj>
        <w:docPartGallery w:val="Page Numbers (Top of Page)"/>
        <w:docPartUnique/>
      </w:docPartObj>
    </w:sdtPr>
    <w:sdtEndPr/>
    <w:sdtContent>
      <w:p w:rsidR="00336E91" w:rsidRDefault="00336E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ADD">
          <w:rPr>
            <w:noProof/>
          </w:rPr>
          <w:t>23</w:t>
        </w:r>
        <w:r>
          <w:fldChar w:fldCharType="end"/>
        </w:r>
      </w:p>
    </w:sdtContent>
  </w:sdt>
  <w:p w:rsidR="00336E91" w:rsidRDefault="00336E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F4"/>
    <w:rsid w:val="000002C8"/>
    <w:rsid w:val="00004546"/>
    <w:rsid w:val="00011A4C"/>
    <w:rsid w:val="000200FA"/>
    <w:rsid w:val="00022C16"/>
    <w:rsid w:val="00023563"/>
    <w:rsid w:val="00030684"/>
    <w:rsid w:val="00034E93"/>
    <w:rsid w:val="00036CFF"/>
    <w:rsid w:val="000372D8"/>
    <w:rsid w:val="00040E3F"/>
    <w:rsid w:val="000428FD"/>
    <w:rsid w:val="000464E7"/>
    <w:rsid w:val="00050BCC"/>
    <w:rsid w:val="0005293D"/>
    <w:rsid w:val="000538F1"/>
    <w:rsid w:val="00056175"/>
    <w:rsid w:val="00056E3A"/>
    <w:rsid w:val="0006119A"/>
    <w:rsid w:val="00063488"/>
    <w:rsid w:val="00063AA8"/>
    <w:rsid w:val="00066892"/>
    <w:rsid w:val="00087129"/>
    <w:rsid w:val="000917A7"/>
    <w:rsid w:val="0009196B"/>
    <w:rsid w:val="000954FB"/>
    <w:rsid w:val="000955E2"/>
    <w:rsid w:val="00095C05"/>
    <w:rsid w:val="000965B6"/>
    <w:rsid w:val="000A0C21"/>
    <w:rsid w:val="000A2A46"/>
    <w:rsid w:val="000A6668"/>
    <w:rsid w:val="000B0855"/>
    <w:rsid w:val="000B3E57"/>
    <w:rsid w:val="000B6045"/>
    <w:rsid w:val="000B7E6D"/>
    <w:rsid w:val="000C0FFB"/>
    <w:rsid w:val="000C2C15"/>
    <w:rsid w:val="000C34BA"/>
    <w:rsid w:val="000C3981"/>
    <w:rsid w:val="000C71D1"/>
    <w:rsid w:val="000D33C1"/>
    <w:rsid w:val="000E1DEF"/>
    <w:rsid w:val="000E20B7"/>
    <w:rsid w:val="000E3E82"/>
    <w:rsid w:val="000E7660"/>
    <w:rsid w:val="000E78FB"/>
    <w:rsid w:val="000E7C35"/>
    <w:rsid w:val="000F0D84"/>
    <w:rsid w:val="00104AD4"/>
    <w:rsid w:val="00114DC1"/>
    <w:rsid w:val="00123249"/>
    <w:rsid w:val="00130D22"/>
    <w:rsid w:val="00144E47"/>
    <w:rsid w:val="00153B07"/>
    <w:rsid w:val="00153C09"/>
    <w:rsid w:val="001641D8"/>
    <w:rsid w:val="001649D9"/>
    <w:rsid w:val="001703BF"/>
    <w:rsid w:val="00173F68"/>
    <w:rsid w:val="001828DF"/>
    <w:rsid w:val="00182CE1"/>
    <w:rsid w:val="001A0516"/>
    <w:rsid w:val="001A4B92"/>
    <w:rsid w:val="001B2454"/>
    <w:rsid w:val="001C1B69"/>
    <w:rsid w:val="001C263A"/>
    <w:rsid w:val="001C7CB0"/>
    <w:rsid w:val="001D0025"/>
    <w:rsid w:val="001D07CD"/>
    <w:rsid w:val="001D6132"/>
    <w:rsid w:val="001E3DD0"/>
    <w:rsid w:val="001E401D"/>
    <w:rsid w:val="001F10F8"/>
    <w:rsid w:val="001F3488"/>
    <w:rsid w:val="001F4495"/>
    <w:rsid w:val="001F7073"/>
    <w:rsid w:val="001F79DF"/>
    <w:rsid w:val="00201E3F"/>
    <w:rsid w:val="002037A4"/>
    <w:rsid w:val="00204F1F"/>
    <w:rsid w:val="002126DD"/>
    <w:rsid w:val="00220EBC"/>
    <w:rsid w:val="002223BA"/>
    <w:rsid w:val="002242F3"/>
    <w:rsid w:val="00226A1E"/>
    <w:rsid w:val="00233C3B"/>
    <w:rsid w:val="00233F44"/>
    <w:rsid w:val="00234254"/>
    <w:rsid w:val="00236CEC"/>
    <w:rsid w:val="00237ACF"/>
    <w:rsid w:val="0024074E"/>
    <w:rsid w:val="00242F8A"/>
    <w:rsid w:val="00244ECC"/>
    <w:rsid w:val="00246661"/>
    <w:rsid w:val="0024776F"/>
    <w:rsid w:val="00252E42"/>
    <w:rsid w:val="00255AF2"/>
    <w:rsid w:val="002654FD"/>
    <w:rsid w:val="00266F5B"/>
    <w:rsid w:val="00271BC6"/>
    <w:rsid w:val="0027206B"/>
    <w:rsid w:val="002729D0"/>
    <w:rsid w:val="002751A1"/>
    <w:rsid w:val="00275638"/>
    <w:rsid w:val="00276F44"/>
    <w:rsid w:val="00281380"/>
    <w:rsid w:val="002816E1"/>
    <w:rsid w:val="002836BD"/>
    <w:rsid w:val="002B12D9"/>
    <w:rsid w:val="002B201D"/>
    <w:rsid w:val="002C178C"/>
    <w:rsid w:val="002C21E7"/>
    <w:rsid w:val="002C2ED1"/>
    <w:rsid w:val="002D3168"/>
    <w:rsid w:val="002D5F2E"/>
    <w:rsid w:val="002D7616"/>
    <w:rsid w:val="002E5468"/>
    <w:rsid w:val="002E5F5D"/>
    <w:rsid w:val="002E6506"/>
    <w:rsid w:val="002F3FED"/>
    <w:rsid w:val="00303ABD"/>
    <w:rsid w:val="00321619"/>
    <w:rsid w:val="0032401E"/>
    <w:rsid w:val="003301E9"/>
    <w:rsid w:val="003303AF"/>
    <w:rsid w:val="003305C1"/>
    <w:rsid w:val="00336E91"/>
    <w:rsid w:val="00337FC0"/>
    <w:rsid w:val="00342250"/>
    <w:rsid w:val="003435AF"/>
    <w:rsid w:val="00343EC6"/>
    <w:rsid w:val="0034459F"/>
    <w:rsid w:val="00344B99"/>
    <w:rsid w:val="00355A1E"/>
    <w:rsid w:val="00356772"/>
    <w:rsid w:val="003602C0"/>
    <w:rsid w:val="00370B57"/>
    <w:rsid w:val="0037476E"/>
    <w:rsid w:val="003759BA"/>
    <w:rsid w:val="00376F93"/>
    <w:rsid w:val="0038004C"/>
    <w:rsid w:val="00380BFA"/>
    <w:rsid w:val="0039359F"/>
    <w:rsid w:val="003A3E89"/>
    <w:rsid w:val="003A75DC"/>
    <w:rsid w:val="003B0291"/>
    <w:rsid w:val="003B34C6"/>
    <w:rsid w:val="003B5FF0"/>
    <w:rsid w:val="003C0A01"/>
    <w:rsid w:val="003D0D76"/>
    <w:rsid w:val="003D7516"/>
    <w:rsid w:val="003E1796"/>
    <w:rsid w:val="003E1FB7"/>
    <w:rsid w:val="003F0ADD"/>
    <w:rsid w:val="003F468F"/>
    <w:rsid w:val="003F713D"/>
    <w:rsid w:val="0040424F"/>
    <w:rsid w:val="0040468D"/>
    <w:rsid w:val="00404A4A"/>
    <w:rsid w:val="004071CB"/>
    <w:rsid w:val="0041396C"/>
    <w:rsid w:val="0041727C"/>
    <w:rsid w:val="00422316"/>
    <w:rsid w:val="00423C61"/>
    <w:rsid w:val="00424FA2"/>
    <w:rsid w:val="004335CC"/>
    <w:rsid w:val="00433CF9"/>
    <w:rsid w:val="004369AC"/>
    <w:rsid w:val="00436BE6"/>
    <w:rsid w:val="004378C8"/>
    <w:rsid w:val="00437F49"/>
    <w:rsid w:val="004428DC"/>
    <w:rsid w:val="0044473D"/>
    <w:rsid w:val="00447A1E"/>
    <w:rsid w:val="00451509"/>
    <w:rsid w:val="004532A4"/>
    <w:rsid w:val="00453682"/>
    <w:rsid w:val="00455F82"/>
    <w:rsid w:val="00456270"/>
    <w:rsid w:val="0045646C"/>
    <w:rsid w:val="0045797C"/>
    <w:rsid w:val="004637CF"/>
    <w:rsid w:val="00463DAF"/>
    <w:rsid w:val="00466D7D"/>
    <w:rsid w:val="004677BE"/>
    <w:rsid w:val="004744A5"/>
    <w:rsid w:val="00481504"/>
    <w:rsid w:val="0048343E"/>
    <w:rsid w:val="00483E2A"/>
    <w:rsid w:val="004860B7"/>
    <w:rsid w:val="00497CB9"/>
    <w:rsid w:val="004A1850"/>
    <w:rsid w:val="004B0A6D"/>
    <w:rsid w:val="004B0D52"/>
    <w:rsid w:val="004B523C"/>
    <w:rsid w:val="004B5658"/>
    <w:rsid w:val="004C0B51"/>
    <w:rsid w:val="004C0C7B"/>
    <w:rsid w:val="004C4F10"/>
    <w:rsid w:val="004D0F42"/>
    <w:rsid w:val="004D1EF9"/>
    <w:rsid w:val="004D4EAE"/>
    <w:rsid w:val="004D58F0"/>
    <w:rsid w:val="004D6C67"/>
    <w:rsid w:val="004E25CF"/>
    <w:rsid w:val="004E4CEF"/>
    <w:rsid w:val="004F150E"/>
    <w:rsid w:val="0050074E"/>
    <w:rsid w:val="00501770"/>
    <w:rsid w:val="005026EB"/>
    <w:rsid w:val="0050425D"/>
    <w:rsid w:val="00507042"/>
    <w:rsid w:val="00510D6F"/>
    <w:rsid w:val="00513DF2"/>
    <w:rsid w:val="005214C2"/>
    <w:rsid w:val="00524C7B"/>
    <w:rsid w:val="00525479"/>
    <w:rsid w:val="00526993"/>
    <w:rsid w:val="00534E6B"/>
    <w:rsid w:val="005374EE"/>
    <w:rsid w:val="00541E82"/>
    <w:rsid w:val="005449AD"/>
    <w:rsid w:val="005467A5"/>
    <w:rsid w:val="00550500"/>
    <w:rsid w:val="005561A6"/>
    <w:rsid w:val="00562644"/>
    <w:rsid w:val="00563569"/>
    <w:rsid w:val="005647A9"/>
    <w:rsid w:val="005655F7"/>
    <w:rsid w:val="00566D52"/>
    <w:rsid w:val="00567199"/>
    <w:rsid w:val="00571AE9"/>
    <w:rsid w:val="005803CF"/>
    <w:rsid w:val="00581196"/>
    <w:rsid w:val="005837C3"/>
    <w:rsid w:val="00592AB6"/>
    <w:rsid w:val="00592B75"/>
    <w:rsid w:val="00596F30"/>
    <w:rsid w:val="005A1D14"/>
    <w:rsid w:val="005A3C20"/>
    <w:rsid w:val="005A6A8C"/>
    <w:rsid w:val="005B13E0"/>
    <w:rsid w:val="005B49E0"/>
    <w:rsid w:val="005C2208"/>
    <w:rsid w:val="005D3702"/>
    <w:rsid w:val="005D4FED"/>
    <w:rsid w:val="005F0DC6"/>
    <w:rsid w:val="005F119F"/>
    <w:rsid w:val="005F22DF"/>
    <w:rsid w:val="005F4103"/>
    <w:rsid w:val="006032A2"/>
    <w:rsid w:val="0061227A"/>
    <w:rsid w:val="00617174"/>
    <w:rsid w:val="0061781C"/>
    <w:rsid w:val="006178E2"/>
    <w:rsid w:val="00621FF5"/>
    <w:rsid w:val="00625DCD"/>
    <w:rsid w:val="00627B48"/>
    <w:rsid w:val="006314FC"/>
    <w:rsid w:val="0063743F"/>
    <w:rsid w:val="006416BB"/>
    <w:rsid w:val="006443D9"/>
    <w:rsid w:val="00660CCA"/>
    <w:rsid w:val="00661E0E"/>
    <w:rsid w:val="006638CF"/>
    <w:rsid w:val="006702C6"/>
    <w:rsid w:val="006723A7"/>
    <w:rsid w:val="006757CD"/>
    <w:rsid w:val="00677C34"/>
    <w:rsid w:val="0068154E"/>
    <w:rsid w:val="00692D78"/>
    <w:rsid w:val="0069698F"/>
    <w:rsid w:val="00696D8B"/>
    <w:rsid w:val="006979DD"/>
    <w:rsid w:val="006A0AE6"/>
    <w:rsid w:val="006A7AB7"/>
    <w:rsid w:val="006B2C88"/>
    <w:rsid w:val="006B61A8"/>
    <w:rsid w:val="006C2894"/>
    <w:rsid w:val="006D1A6C"/>
    <w:rsid w:val="006D387B"/>
    <w:rsid w:val="006D4F51"/>
    <w:rsid w:val="006E0DF0"/>
    <w:rsid w:val="006E6ACB"/>
    <w:rsid w:val="006E701D"/>
    <w:rsid w:val="006E7388"/>
    <w:rsid w:val="006F107F"/>
    <w:rsid w:val="006F29F3"/>
    <w:rsid w:val="006F3A3D"/>
    <w:rsid w:val="00703CDA"/>
    <w:rsid w:val="00716149"/>
    <w:rsid w:val="007236BE"/>
    <w:rsid w:val="00726129"/>
    <w:rsid w:val="007261E9"/>
    <w:rsid w:val="007308F0"/>
    <w:rsid w:val="00742874"/>
    <w:rsid w:val="00751914"/>
    <w:rsid w:val="00752A11"/>
    <w:rsid w:val="00755D22"/>
    <w:rsid w:val="007601CB"/>
    <w:rsid w:val="007620A4"/>
    <w:rsid w:val="007662D8"/>
    <w:rsid w:val="00767F2A"/>
    <w:rsid w:val="00775ED7"/>
    <w:rsid w:val="00776051"/>
    <w:rsid w:val="0078037F"/>
    <w:rsid w:val="00783FB3"/>
    <w:rsid w:val="00784863"/>
    <w:rsid w:val="00784AD2"/>
    <w:rsid w:val="0079445B"/>
    <w:rsid w:val="007A00D3"/>
    <w:rsid w:val="007A2753"/>
    <w:rsid w:val="007A4A91"/>
    <w:rsid w:val="007A5AEC"/>
    <w:rsid w:val="007A67A0"/>
    <w:rsid w:val="007A78B5"/>
    <w:rsid w:val="007B64E5"/>
    <w:rsid w:val="007C1DE3"/>
    <w:rsid w:val="007C44CF"/>
    <w:rsid w:val="007C492E"/>
    <w:rsid w:val="007C6C8A"/>
    <w:rsid w:val="007C76BD"/>
    <w:rsid w:val="007D1170"/>
    <w:rsid w:val="007D2AA7"/>
    <w:rsid w:val="007D2C2F"/>
    <w:rsid w:val="007D6FE9"/>
    <w:rsid w:val="007E3BD1"/>
    <w:rsid w:val="007E5B4B"/>
    <w:rsid w:val="007E5EE4"/>
    <w:rsid w:val="007F0046"/>
    <w:rsid w:val="007F1CA3"/>
    <w:rsid w:val="007F4E0F"/>
    <w:rsid w:val="007F5472"/>
    <w:rsid w:val="0080495C"/>
    <w:rsid w:val="00806AC9"/>
    <w:rsid w:val="00832E23"/>
    <w:rsid w:val="00834659"/>
    <w:rsid w:val="00854051"/>
    <w:rsid w:val="00861A6B"/>
    <w:rsid w:val="00861B6E"/>
    <w:rsid w:val="00861FAA"/>
    <w:rsid w:val="00865813"/>
    <w:rsid w:val="008709BD"/>
    <w:rsid w:val="00872A43"/>
    <w:rsid w:val="00875EFF"/>
    <w:rsid w:val="0087686C"/>
    <w:rsid w:val="00877C9D"/>
    <w:rsid w:val="00882C2E"/>
    <w:rsid w:val="008911E2"/>
    <w:rsid w:val="008927A6"/>
    <w:rsid w:val="00894F1C"/>
    <w:rsid w:val="00895F80"/>
    <w:rsid w:val="008A1CE5"/>
    <w:rsid w:val="008A3192"/>
    <w:rsid w:val="008A5A1E"/>
    <w:rsid w:val="008A686B"/>
    <w:rsid w:val="008A718A"/>
    <w:rsid w:val="008B2296"/>
    <w:rsid w:val="008C29DB"/>
    <w:rsid w:val="008C35FD"/>
    <w:rsid w:val="008C5B4D"/>
    <w:rsid w:val="008D1181"/>
    <w:rsid w:val="008D2958"/>
    <w:rsid w:val="008D3A2F"/>
    <w:rsid w:val="008D3D85"/>
    <w:rsid w:val="008D73EF"/>
    <w:rsid w:val="008E0BDB"/>
    <w:rsid w:val="008E7B1C"/>
    <w:rsid w:val="008F3BA9"/>
    <w:rsid w:val="008F5311"/>
    <w:rsid w:val="008F6946"/>
    <w:rsid w:val="008F7BDE"/>
    <w:rsid w:val="0090039B"/>
    <w:rsid w:val="009025C2"/>
    <w:rsid w:val="00902DCF"/>
    <w:rsid w:val="00904460"/>
    <w:rsid w:val="0091265C"/>
    <w:rsid w:val="00916981"/>
    <w:rsid w:val="00922349"/>
    <w:rsid w:val="009269B7"/>
    <w:rsid w:val="00936C84"/>
    <w:rsid w:val="00942490"/>
    <w:rsid w:val="00942A70"/>
    <w:rsid w:val="009432AA"/>
    <w:rsid w:val="00943613"/>
    <w:rsid w:val="00943A3F"/>
    <w:rsid w:val="00952B40"/>
    <w:rsid w:val="009534AF"/>
    <w:rsid w:val="00954856"/>
    <w:rsid w:val="009555D9"/>
    <w:rsid w:val="009632EB"/>
    <w:rsid w:val="00970193"/>
    <w:rsid w:val="00971F1A"/>
    <w:rsid w:val="00974951"/>
    <w:rsid w:val="009756B3"/>
    <w:rsid w:val="00982046"/>
    <w:rsid w:val="00984541"/>
    <w:rsid w:val="009902FB"/>
    <w:rsid w:val="00990478"/>
    <w:rsid w:val="0099095C"/>
    <w:rsid w:val="009932E0"/>
    <w:rsid w:val="0099467D"/>
    <w:rsid w:val="009947E9"/>
    <w:rsid w:val="009975BE"/>
    <w:rsid w:val="00997C06"/>
    <w:rsid w:val="009A5539"/>
    <w:rsid w:val="009A5AA5"/>
    <w:rsid w:val="009B67E5"/>
    <w:rsid w:val="009C28BE"/>
    <w:rsid w:val="009C536B"/>
    <w:rsid w:val="009D0A0A"/>
    <w:rsid w:val="009D1AB4"/>
    <w:rsid w:val="009D3037"/>
    <w:rsid w:val="009D7911"/>
    <w:rsid w:val="009E0C85"/>
    <w:rsid w:val="009E52E6"/>
    <w:rsid w:val="009F1B59"/>
    <w:rsid w:val="009F46F5"/>
    <w:rsid w:val="009F52EE"/>
    <w:rsid w:val="00A04674"/>
    <w:rsid w:val="00A222B2"/>
    <w:rsid w:val="00A30AAC"/>
    <w:rsid w:val="00A40481"/>
    <w:rsid w:val="00A407E4"/>
    <w:rsid w:val="00A4682D"/>
    <w:rsid w:val="00A477AF"/>
    <w:rsid w:val="00A50647"/>
    <w:rsid w:val="00A515CC"/>
    <w:rsid w:val="00A54ACE"/>
    <w:rsid w:val="00A560A9"/>
    <w:rsid w:val="00A60890"/>
    <w:rsid w:val="00A61A2F"/>
    <w:rsid w:val="00A62339"/>
    <w:rsid w:val="00A62ECC"/>
    <w:rsid w:val="00A65E04"/>
    <w:rsid w:val="00A65F38"/>
    <w:rsid w:val="00A717D4"/>
    <w:rsid w:val="00A71851"/>
    <w:rsid w:val="00A73439"/>
    <w:rsid w:val="00A741ED"/>
    <w:rsid w:val="00A74945"/>
    <w:rsid w:val="00A75AB7"/>
    <w:rsid w:val="00A76E7E"/>
    <w:rsid w:val="00A81854"/>
    <w:rsid w:val="00A81DA6"/>
    <w:rsid w:val="00A82149"/>
    <w:rsid w:val="00A8216F"/>
    <w:rsid w:val="00A84F83"/>
    <w:rsid w:val="00A85424"/>
    <w:rsid w:val="00A86890"/>
    <w:rsid w:val="00A935BF"/>
    <w:rsid w:val="00AA0F5B"/>
    <w:rsid w:val="00AA6066"/>
    <w:rsid w:val="00AB2FCE"/>
    <w:rsid w:val="00AB4A0A"/>
    <w:rsid w:val="00AB5599"/>
    <w:rsid w:val="00AB7923"/>
    <w:rsid w:val="00AC24F7"/>
    <w:rsid w:val="00AC3240"/>
    <w:rsid w:val="00AC7C74"/>
    <w:rsid w:val="00AD558C"/>
    <w:rsid w:val="00AD621D"/>
    <w:rsid w:val="00AE45D6"/>
    <w:rsid w:val="00AE5959"/>
    <w:rsid w:val="00AE7A45"/>
    <w:rsid w:val="00AF2EE4"/>
    <w:rsid w:val="00AF5068"/>
    <w:rsid w:val="00B04543"/>
    <w:rsid w:val="00B13AB2"/>
    <w:rsid w:val="00B16B24"/>
    <w:rsid w:val="00B2054F"/>
    <w:rsid w:val="00B220F4"/>
    <w:rsid w:val="00B25C34"/>
    <w:rsid w:val="00B301C3"/>
    <w:rsid w:val="00B30954"/>
    <w:rsid w:val="00B34615"/>
    <w:rsid w:val="00B34C14"/>
    <w:rsid w:val="00B35B52"/>
    <w:rsid w:val="00B40085"/>
    <w:rsid w:val="00B55E7E"/>
    <w:rsid w:val="00B60C4F"/>
    <w:rsid w:val="00B71114"/>
    <w:rsid w:val="00B719D8"/>
    <w:rsid w:val="00B7593C"/>
    <w:rsid w:val="00B77C26"/>
    <w:rsid w:val="00B83518"/>
    <w:rsid w:val="00B85A6C"/>
    <w:rsid w:val="00B90E6A"/>
    <w:rsid w:val="00B93A08"/>
    <w:rsid w:val="00BA0D51"/>
    <w:rsid w:val="00BA29DA"/>
    <w:rsid w:val="00BA2C4F"/>
    <w:rsid w:val="00BA3715"/>
    <w:rsid w:val="00BA423E"/>
    <w:rsid w:val="00BB0E7C"/>
    <w:rsid w:val="00BB5B12"/>
    <w:rsid w:val="00BB6601"/>
    <w:rsid w:val="00BB6B73"/>
    <w:rsid w:val="00BC3178"/>
    <w:rsid w:val="00BC4600"/>
    <w:rsid w:val="00BC580F"/>
    <w:rsid w:val="00BD2F5B"/>
    <w:rsid w:val="00BE2495"/>
    <w:rsid w:val="00BF6802"/>
    <w:rsid w:val="00C111E9"/>
    <w:rsid w:val="00C16896"/>
    <w:rsid w:val="00C20B9D"/>
    <w:rsid w:val="00C3268F"/>
    <w:rsid w:val="00C363BD"/>
    <w:rsid w:val="00C3673D"/>
    <w:rsid w:val="00C41CA5"/>
    <w:rsid w:val="00C422DC"/>
    <w:rsid w:val="00C43B3D"/>
    <w:rsid w:val="00C440B3"/>
    <w:rsid w:val="00C461B7"/>
    <w:rsid w:val="00C4620C"/>
    <w:rsid w:val="00C46FC1"/>
    <w:rsid w:val="00C476DA"/>
    <w:rsid w:val="00C52C00"/>
    <w:rsid w:val="00C54F92"/>
    <w:rsid w:val="00C66623"/>
    <w:rsid w:val="00C74242"/>
    <w:rsid w:val="00C74E00"/>
    <w:rsid w:val="00C81B1B"/>
    <w:rsid w:val="00C82CC9"/>
    <w:rsid w:val="00C83990"/>
    <w:rsid w:val="00C90796"/>
    <w:rsid w:val="00C911F8"/>
    <w:rsid w:val="00C92A20"/>
    <w:rsid w:val="00CA0A19"/>
    <w:rsid w:val="00CA1F9C"/>
    <w:rsid w:val="00CA604A"/>
    <w:rsid w:val="00CC03F5"/>
    <w:rsid w:val="00CC0C97"/>
    <w:rsid w:val="00CD6BF7"/>
    <w:rsid w:val="00CD7358"/>
    <w:rsid w:val="00CE102C"/>
    <w:rsid w:val="00CE30DA"/>
    <w:rsid w:val="00CE3AFE"/>
    <w:rsid w:val="00CE5770"/>
    <w:rsid w:val="00CF206F"/>
    <w:rsid w:val="00CF56FF"/>
    <w:rsid w:val="00D116E5"/>
    <w:rsid w:val="00D13ED1"/>
    <w:rsid w:val="00D32163"/>
    <w:rsid w:val="00D32773"/>
    <w:rsid w:val="00D37FE5"/>
    <w:rsid w:val="00D43491"/>
    <w:rsid w:val="00D4787D"/>
    <w:rsid w:val="00D517FC"/>
    <w:rsid w:val="00D63AF4"/>
    <w:rsid w:val="00D6723E"/>
    <w:rsid w:val="00D704D1"/>
    <w:rsid w:val="00D71A02"/>
    <w:rsid w:val="00D81F57"/>
    <w:rsid w:val="00D82F63"/>
    <w:rsid w:val="00D85853"/>
    <w:rsid w:val="00D95308"/>
    <w:rsid w:val="00DA25B4"/>
    <w:rsid w:val="00DA3D45"/>
    <w:rsid w:val="00DB5862"/>
    <w:rsid w:val="00DC0BE0"/>
    <w:rsid w:val="00DC321D"/>
    <w:rsid w:val="00DC3D0B"/>
    <w:rsid w:val="00DD4786"/>
    <w:rsid w:val="00DE0F4C"/>
    <w:rsid w:val="00DE15FB"/>
    <w:rsid w:val="00DE1D30"/>
    <w:rsid w:val="00DE458E"/>
    <w:rsid w:val="00DE48B3"/>
    <w:rsid w:val="00DE52D7"/>
    <w:rsid w:val="00DE6AE7"/>
    <w:rsid w:val="00DE6B3F"/>
    <w:rsid w:val="00DF2B02"/>
    <w:rsid w:val="00DF5C68"/>
    <w:rsid w:val="00E04717"/>
    <w:rsid w:val="00E105BA"/>
    <w:rsid w:val="00E13178"/>
    <w:rsid w:val="00E143FF"/>
    <w:rsid w:val="00E20495"/>
    <w:rsid w:val="00E244F8"/>
    <w:rsid w:val="00E24B2B"/>
    <w:rsid w:val="00E24E27"/>
    <w:rsid w:val="00E27A5B"/>
    <w:rsid w:val="00E338EB"/>
    <w:rsid w:val="00E34425"/>
    <w:rsid w:val="00E35EB3"/>
    <w:rsid w:val="00E36564"/>
    <w:rsid w:val="00E41A13"/>
    <w:rsid w:val="00E43735"/>
    <w:rsid w:val="00E4393C"/>
    <w:rsid w:val="00E46F92"/>
    <w:rsid w:val="00E620D4"/>
    <w:rsid w:val="00E67F91"/>
    <w:rsid w:val="00E71053"/>
    <w:rsid w:val="00E768FA"/>
    <w:rsid w:val="00E80A4B"/>
    <w:rsid w:val="00E83546"/>
    <w:rsid w:val="00E835C0"/>
    <w:rsid w:val="00E853AE"/>
    <w:rsid w:val="00E86B75"/>
    <w:rsid w:val="00EA6692"/>
    <w:rsid w:val="00EA79F8"/>
    <w:rsid w:val="00EB0DB4"/>
    <w:rsid w:val="00EB1902"/>
    <w:rsid w:val="00EB68E7"/>
    <w:rsid w:val="00EC0666"/>
    <w:rsid w:val="00EC20C7"/>
    <w:rsid w:val="00EC3BD0"/>
    <w:rsid w:val="00EC451D"/>
    <w:rsid w:val="00EC4DAF"/>
    <w:rsid w:val="00EC6100"/>
    <w:rsid w:val="00EC6718"/>
    <w:rsid w:val="00EC7792"/>
    <w:rsid w:val="00ED26A0"/>
    <w:rsid w:val="00ED5143"/>
    <w:rsid w:val="00ED5770"/>
    <w:rsid w:val="00EE7554"/>
    <w:rsid w:val="00EE75A4"/>
    <w:rsid w:val="00EF1086"/>
    <w:rsid w:val="00EF1405"/>
    <w:rsid w:val="00EF6996"/>
    <w:rsid w:val="00F00EFA"/>
    <w:rsid w:val="00F12785"/>
    <w:rsid w:val="00F13BD2"/>
    <w:rsid w:val="00F13E8B"/>
    <w:rsid w:val="00F2300C"/>
    <w:rsid w:val="00F33D01"/>
    <w:rsid w:val="00F41FDC"/>
    <w:rsid w:val="00F45164"/>
    <w:rsid w:val="00F47D3A"/>
    <w:rsid w:val="00F47F31"/>
    <w:rsid w:val="00F50CB6"/>
    <w:rsid w:val="00F62076"/>
    <w:rsid w:val="00F6284C"/>
    <w:rsid w:val="00F62B10"/>
    <w:rsid w:val="00F659EC"/>
    <w:rsid w:val="00F65C9E"/>
    <w:rsid w:val="00F65E51"/>
    <w:rsid w:val="00F67E91"/>
    <w:rsid w:val="00F719D3"/>
    <w:rsid w:val="00F7307E"/>
    <w:rsid w:val="00F81700"/>
    <w:rsid w:val="00F8614F"/>
    <w:rsid w:val="00F90B4F"/>
    <w:rsid w:val="00FA060D"/>
    <w:rsid w:val="00FA34DD"/>
    <w:rsid w:val="00FA472D"/>
    <w:rsid w:val="00FA609F"/>
    <w:rsid w:val="00FA7540"/>
    <w:rsid w:val="00FA7C3D"/>
    <w:rsid w:val="00FB2E59"/>
    <w:rsid w:val="00FB35E4"/>
    <w:rsid w:val="00FB5BAA"/>
    <w:rsid w:val="00FB5D7A"/>
    <w:rsid w:val="00FC2D13"/>
    <w:rsid w:val="00FC76CF"/>
    <w:rsid w:val="00FD2517"/>
    <w:rsid w:val="00FD5C82"/>
    <w:rsid w:val="00FE04A7"/>
    <w:rsid w:val="00FE346A"/>
    <w:rsid w:val="00FE5474"/>
    <w:rsid w:val="00FE694F"/>
    <w:rsid w:val="00FF177B"/>
    <w:rsid w:val="00FF1890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7D2C2F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D2C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D2C2F"/>
  </w:style>
  <w:style w:type="table" w:customStyle="1" w:styleId="3">
    <w:name w:val="Сетка таблицы3"/>
    <w:basedOn w:val="a1"/>
    <w:next w:val="a5"/>
    <w:uiPriority w:val="59"/>
    <w:rsid w:val="00F6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9047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3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E91"/>
  </w:style>
  <w:style w:type="paragraph" w:styleId="ab">
    <w:name w:val="footer"/>
    <w:basedOn w:val="a"/>
    <w:link w:val="ac"/>
    <w:uiPriority w:val="99"/>
    <w:unhideWhenUsed/>
    <w:rsid w:val="0033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7D2C2F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D2C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D2C2F"/>
  </w:style>
  <w:style w:type="table" w:customStyle="1" w:styleId="3">
    <w:name w:val="Сетка таблицы3"/>
    <w:basedOn w:val="a1"/>
    <w:next w:val="a5"/>
    <w:uiPriority w:val="59"/>
    <w:rsid w:val="00F6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9047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3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E91"/>
  </w:style>
  <w:style w:type="paragraph" w:styleId="ab">
    <w:name w:val="footer"/>
    <w:basedOn w:val="a"/>
    <w:link w:val="ac"/>
    <w:uiPriority w:val="99"/>
    <w:unhideWhenUsed/>
    <w:rsid w:val="0033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1111111111111111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01101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1111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1212121212121212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1313131313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14141414141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151515151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161616161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171717171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181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191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</a:t>
            </a:r>
            <a:r>
              <a:rPr lang="ru-RU" sz="1000" baseline="0"/>
              <a:t> расходов бюджета </a:t>
            </a:r>
          </a:p>
          <a:p>
            <a:pPr>
              <a:defRPr sz="1000"/>
            </a:pPr>
            <a:r>
              <a:rPr lang="ru-RU" sz="1000" baseline="0"/>
              <a:t>в 2019-2022 годах</a:t>
            </a: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192882.5</c:v>
                </c:pt>
                <c:pt idx="1">
                  <c:v>200936.5</c:v>
                </c:pt>
                <c:pt idx="2">
                  <c:v>186353.4</c:v>
                </c:pt>
                <c:pt idx="3">
                  <c:v>188587.9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12502.8</c:v>
                </c:pt>
                <c:pt idx="1">
                  <c:v>9109</c:v>
                </c:pt>
                <c:pt idx="2">
                  <c:v>8578.2000000000007</c:v>
                </c:pt>
                <c:pt idx="3">
                  <c:v>8676.7999999999993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78616</c:v>
                </c:pt>
                <c:pt idx="1">
                  <c:v>76367.899999999994</c:v>
                </c:pt>
                <c:pt idx="2">
                  <c:v>74321</c:v>
                </c:pt>
                <c:pt idx="3">
                  <c:v>77765.899999999994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103748.5</c:v>
                </c:pt>
                <c:pt idx="1">
                  <c:v>83143.5</c:v>
                </c:pt>
                <c:pt idx="2">
                  <c:v>80710.8</c:v>
                </c:pt>
                <c:pt idx="3">
                  <c:v>78822.399999999994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896790.5</c:v>
                </c:pt>
                <c:pt idx="1">
                  <c:v>964571.1</c:v>
                </c:pt>
                <c:pt idx="2">
                  <c:v>1204770.2</c:v>
                </c:pt>
                <c:pt idx="3">
                  <c:v>1018952.4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95265</c:v>
                </c:pt>
                <c:pt idx="1">
                  <c:v>79925.3</c:v>
                </c:pt>
                <c:pt idx="2">
                  <c:v>75268.100000000006</c:v>
                </c:pt>
                <c:pt idx="3">
                  <c:v>76132.2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Социальная политика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99070.399999999994</c:v>
                </c:pt>
                <c:pt idx="1">
                  <c:v>99976.2</c:v>
                </c:pt>
                <c:pt idx="2">
                  <c:v>105397.8</c:v>
                </c:pt>
                <c:pt idx="3">
                  <c:v>109568.5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42246.7</c:v>
                </c:pt>
                <c:pt idx="1">
                  <c:v>57863.8</c:v>
                </c:pt>
                <c:pt idx="2">
                  <c:v>35644.6</c:v>
                </c:pt>
                <c:pt idx="3">
                  <c:v>36043.699999999997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Средства массовой информации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3363.9</c:v>
                </c:pt>
                <c:pt idx="1">
                  <c:v>2142.6</c:v>
                </c:pt>
                <c:pt idx="2">
                  <c:v>2026.1</c:v>
                </c:pt>
                <c:pt idx="3">
                  <c:v>2047.7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Обслуживание государственного и муниципального долга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5648.5</c:v>
                </c:pt>
                <c:pt idx="1">
                  <c:v>3500</c:v>
                </c:pt>
                <c:pt idx="2">
                  <c:v>3299.3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699072"/>
        <c:axId val="93709056"/>
      </c:barChart>
      <c:catAx>
        <c:axId val="93699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93709056"/>
        <c:crosses val="autoZero"/>
        <c:auto val="1"/>
        <c:lblAlgn val="ctr"/>
        <c:lblOffset val="100"/>
        <c:noMultiLvlLbl val="0"/>
      </c:catAx>
      <c:valAx>
        <c:axId val="937090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36990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 </a:t>
            </a:r>
          </a:p>
          <a:p>
            <a:pPr>
              <a:defRPr sz="1000"/>
            </a:pPr>
            <a:r>
              <a:rPr lang="ru-RU" sz="1000"/>
              <a:t> Физическая культура и спорт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Массовый спорт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188180485512179E-17"/>
                  <c:y val="1.58140811941001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14240550953665E-3"/>
                  <c:y val="-3.97112082057991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97676014926251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7695351137487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42246.7</c:v>
                </c:pt>
                <c:pt idx="1">
                  <c:v>57863.8</c:v>
                </c:pt>
                <c:pt idx="2">
                  <c:v>35644.6</c:v>
                </c:pt>
                <c:pt idx="3">
                  <c:v>36043.699999999997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350336"/>
        <c:axId val="94356224"/>
      </c:barChart>
      <c:catAx>
        <c:axId val="9435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94356224"/>
        <c:crosses val="autoZero"/>
        <c:auto val="1"/>
        <c:lblAlgn val="ctr"/>
        <c:lblOffset val="100"/>
        <c:noMultiLvlLbl val="0"/>
      </c:catAx>
      <c:valAx>
        <c:axId val="9435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3503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 Динамика расходов бюджета по разделу </a:t>
            </a:r>
          </a:p>
          <a:p>
            <a:pPr>
              <a:defRPr sz="1000"/>
            </a:pPr>
            <a:r>
              <a:rPr lang="ru-RU" sz="1000"/>
              <a:t> Средства массовой информации</a:t>
            </a:r>
          </a:p>
        </c:rich>
      </c:tx>
      <c:layout>
        <c:manualLayout>
          <c:xMode val="edge"/>
          <c:yMode val="edge"/>
          <c:x val="0.33685721693800408"/>
          <c:y val="1.978239366963402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1202 Периодическая печать и издательства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5825914935707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364232345577792E-17"/>
                  <c:y val="1.5825914935707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3115,3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3363.9</c:v>
                </c:pt>
                <c:pt idx="1">
                  <c:v>2142.6</c:v>
                </c:pt>
                <c:pt idx="2">
                  <c:v>2026.1</c:v>
                </c:pt>
                <c:pt idx="3">
                  <c:v>2047.7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213248"/>
        <c:axId val="94214784"/>
      </c:barChart>
      <c:catAx>
        <c:axId val="94213248"/>
        <c:scaling>
          <c:orientation val="minMax"/>
        </c:scaling>
        <c:delete val="0"/>
        <c:axPos val="b"/>
        <c:majorTickMark val="out"/>
        <c:minorTickMark val="none"/>
        <c:tickLblPos val="nextTo"/>
        <c:crossAx val="94214784"/>
        <c:crosses val="autoZero"/>
        <c:auto val="1"/>
        <c:lblAlgn val="ctr"/>
        <c:lblOffset val="100"/>
        <c:noMultiLvlLbl val="0"/>
      </c:catAx>
      <c:valAx>
        <c:axId val="9421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2132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29290417645163"/>
          <c:y val="0.20897372991580801"/>
          <c:w val="0.82831812600592503"/>
          <c:h val="0.788075308275167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Общегосударственные вопросы</c:v>
                </c:pt>
                <c:pt idx="1">
                  <c:v>Жилищно-коммнальное хозяйство и национальная экономика</c:v>
                </c:pt>
                <c:pt idx="2">
                  <c:v>Социальная сфера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0.12740000000000001</c:v>
                </c:pt>
                <c:pt idx="1">
                  <c:v>5.2699999999999997E-2</c:v>
                </c:pt>
                <c:pt idx="2">
                  <c:v>0.76300000000000001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 "Общегосударственные вопросы", тыс. руб.</a:t>
            </a:r>
          </a:p>
          <a:p>
            <a:pPr>
              <a:defRPr sz="1000"/>
            </a:pPr>
            <a:endParaRPr lang="ru-RU" sz="1000"/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924959900845728"/>
          <c:y val="0.23300618672665918"/>
          <c:w val="0.86760225284339454"/>
          <c:h val="0.675518997625296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08030040439051E-3"/>
                  <c:y val="7.91295746785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37388724035608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 год </c:v>
                </c:pt>
                <c:pt idx="1">
                  <c:v>2020 год 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192882.5</c:v>
                </c:pt>
                <c:pt idx="1">
                  <c:v>200936.5</c:v>
                </c:pt>
                <c:pt idx="2">
                  <c:v>186353.4</c:v>
                </c:pt>
                <c:pt idx="3">
                  <c:v>188587.9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3379584"/>
        <c:axId val="93591424"/>
      </c:barChart>
      <c:catAx>
        <c:axId val="93379584"/>
        <c:scaling>
          <c:orientation val="minMax"/>
        </c:scaling>
        <c:delete val="0"/>
        <c:axPos val="b"/>
        <c:majorTickMark val="out"/>
        <c:minorTickMark val="none"/>
        <c:tickLblPos val="nextTo"/>
        <c:crossAx val="93591424"/>
        <c:crosses val="autoZero"/>
        <c:auto val="1"/>
        <c:lblAlgn val="ctr"/>
        <c:lblOffset val="100"/>
        <c:noMultiLvlLbl val="0"/>
      </c:catAx>
      <c:valAx>
        <c:axId val="9359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3795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25"/>
          <c:dPt>
            <c:idx val="3"/>
            <c:bubble3D val="0"/>
            <c:explosion val="12"/>
          </c:dPt>
          <c:dLbls>
            <c:dLbl>
              <c:idx val="1"/>
              <c:layout>
                <c:manualLayout>
                  <c:x val="0.17222529380166912"/>
                  <c:y val="5.428881650380022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484909228276586E-3"/>
                  <c:y val="0.171795121700992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Функционирование высшего должностного лица субъекта РФ и муниципальных образований</c:v>
                </c:pt>
                <c:pt idx="1">
                  <c:v>Функционирование законодательных (представительных) органов государственной власти и представительных органов муниципальных образований</c:v>
                </c:pt>
                <c:pt idx="2">
                  <c:v>Функционирование Правительства РФ, высших органов государственной власти субъектов РФ, местных администраций</c:v>
                </c:pt>
                <c:pt idx="3">
                  <c:v>Обеспечение деятельности финансовых, налоговых и таможенных  органов и органов финансового (финансово-бюджетного) надзора </c:v>
                </c:pt>
                <c:pt idx="4">
                  <c:v>Другие общегосударственные вопросы</c:v>
                </c:pt>
                <c:pt idx="5">
                  <c:v>Резервные фонды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1757.7</c:v>
                </c:pt>
                <c:pt idx="1">
                  <c:v>1995</c:v>
                </c:pt>
                <c:pt idx="2">
                  <c:v>50535</c:v>
                </c:pt>
                <c:pt idx="3">
                  <c:v>9258.9</c:v>
                </c:pt>
                <c:pt idx="4">
                  <c:v>136889.9</c:v>
                </c:pt>
                <c:pt idx="5">
                  <c:v>500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"Национальная безопасность и правоохранительная деятельность"</a:t>
            </a:r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Защита населения и территории от чрезвычайных ситуаций природного и техногенного характера, гражданская оборона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2312031186742912E-3"/>
                  <c:y val="-8.0188789457697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587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3472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Другие вопросы в лбласти национальной безопасности и правоохранительной деятельности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5637</c:v>
                </c:pt>
                <c:pt idx="1">
                  <c:v>8578.2000000000007</c:v>
                </c:pt>
                <c:pt idx="2">
                  <c:v>8676.7999999999993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4283264"/>
        <c:axId val="94284800"/>
      </c:barChart>
      <c:catAx>
        <c:axId val="94283264"/>
        <c:scaling>
          <c:orientation val="minMax"/>
        </c:scaling>
        <c:delete val="0"/>
        <c:axPos val="b"/>
        <c:majorTickMark val="out"/>
        <c:minorTickMark val="none"/>
        <c:tickLblPos val="nextTo"/>
        <c:crossAx val="94284800"/>
        <c:crosses val="autoZero"/>
        <c:auto val="1"/>
        <c:lblAlgn val="ctr"/>
        <c:lblOffset val="100"/>
        <c:noMultiLvlLbl val="0"/>
      </c:catAx>
      <c:valAx>
        <c:axId val="9428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28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Национальная экономика</a:t>
            </a:r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33295838020247"/>
          <c:y val="0.12155230596175479"/>
          <c:w val="0.54933837815727582"/>
          <c:h val="0.624590988626421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1774</c:v>
                </c:pt>
                <c:pt idx="1">
                  <c:v>324</c:v>
                </c:pt>
                <c:pt idx="2">
                  <c:v>1097</c:v>
                </c:pt>
                <c:pt idx="3">
                  <c:v>434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Дорожное хозяйство (дорожные фонды)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72277</c:v>
                </c:pt>
                <c:pt idx="1">
                  <c:v>71243.899999999994</c:v>
                </c:pt>
                <c:pt idx="2">
                  <c:v>73224</c:v>
                </c:pt>
                <c:pt idx="3">
                  <c:v>77331.899999999994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Другие вопросы в области национальной экономики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2539168017287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4565</c:v>
                </c:pt>
                <c:pt idx="1">
                  <c:v>4800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300800"/>
        <c:axId val="93884416"/>
        <c:axId val="0"/>
      </c:bar3DChart>
      <c:catAx>
        <c:axId val="94300800"/>
        <c:scaling>
          <c:orientation val="minMax"/>
        </c:scaling>
        <c:delete val="0"/>
        <c:axPos val="b"/>
        <c:majorTickMark val="out"/>
        <c:minorTickMark val="none"/>
        <c:tickLblPos val="nextTo"/>
        <c:crossAx val="93884416"/>
        <c:crosses val="autoZero"/>
        <c:auto val="1"/>
        <c:lblAlgn val="ctr"/>
        <c:lblOffset val="100"/>
        <c:noMultiLvlLbl val="0"/>
      </c:catAx>
      <c:valAx>
        <c:axId val="9388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300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 0500 Жилищно-коммунальное хозяйство</a:t>
            </a:r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Жилищное хозяйство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1.96560196560196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943</c:v>
                </c:pt>
                <c:pt idx="1">
                  <c:v>1200.5999999999999</c:v>
                </c:pt>
                <c:pt idx="2">
                  <c:v>600</c:v>
                </c:pt>
                <c:pt idx="3">
                  <c:v>600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48642403235124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795953365448035E-2"/>
                  <c:y val="1.63560267497275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24543.200000000001</c:v>
                </c:pt>
                <c:pt idx="1">
                  <c:v>14046.7</c:v>
                </c:pt>
                <c:pt idx="2">
                  <c:v>10441.299999999999</c:v>
                </c:pt>
                <c:pt idx="3">
                  <c:v>11335.3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Благоустройство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91400491400491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343949813180849E-3"/>
                  <c:y val="-1.32584719073788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68451.600000000006</c:v>
                </c:pt>
                <c:pt idx="1">
                  <c:v>59975</c:v>
                </c:pt>
                <c:pt idx="2">
                  <c:v>63281.8</c:v>
                </c:pt>
                <c:pt idx="3">
                  <c:v>59499.4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вопросы в области жилищно-коммунального хозяйства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49171995018155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49171995018151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01230002228926E-2"/>
                  <c:y val="1.6380016380016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4662045060658495E-2"/>
                  <c:y val="3.2760032760032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9810.7000000000007</c:v>
                </c:pt>
                <c:pt idx="1">
                  <c:v>7921.2</c:v>
                </c:pt>
                <c:pt idx="2">
                  <c:v>6387.7</c:v>
                </c:pt>
                <c:pt idx="3">
                  <c:v>8937.7000000000007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8193280"/>
        <c:axId val="108194816"/>
      </c:barChart>
      <c:catAx>
        <c:axId val="108193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8194816"/>
        <c:crosses val="autoZero"/>
        <c:auto val="1"/>
        <c:lblAlgn val="ctr"/>
        <c:lblOffset val="100"/>
        <c:noMultiLvlLbl val="0"/>
      </c:catAx>
      <c:valAx>
        <c:axId val="10819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193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1.984158230221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092592592592591E-2"/>
                  <c:y val="-3.9657855268091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2"/>
                  <c:y val="-3.1711348581427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95265</c:v>
                </c:pt>
                <c:pt idx="1">
                  <c:v>79925.3</c:v>
                </c:pt>
                <c:pt idx="2">
                  <c:v>75268.100000000006</c:v>
                </c:pt>
                <c:pt idx="3">
                  <c:v>76132.2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075520"/>
        <c:axId val="94107136"/>
        <c:axId val="0"/>
      </c:bar3DChart>
      <c:catAx>
        <c:axId val="94075520"/>
        <c:scaling>
          <c:orientation val="minMax"/>
        </c:scaling>
        <c:delete val="0"/>
        <c:axPos val="b"/>
        <c:majorTickMark val="out"/>
        <c:minorTickMark val="none"/>
        <c:tickLblPos val="nextTo"/>
        <c:crossAx val="94107136"/>
        <c:crosses val="autoZero"/>
        <c:auto val="1"/>
        <c:lblAlgn val="ctr"/>
        <c:lblOffset val="100"/>
        <c:noMultiLvlLbl val="0"/>
      </c:catAx>
      <c:valAx>
        <c:axId val="9410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0755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Пенсионное обеспечение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5000</c:v>
                </c:pt>
                <c:pt idx="1">
                  <c:v>5000</c:v>
                </c:pt>
                <c:pt idx="2">
                  <c:v>4708.1000000000004</c:v>
                </c:pt>
                <c:pt idx="3">
                  <c:v>8099.3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Социальное обеспечение населения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44525.9</c:v>
                </c:pt>
                <c:pt idx="1">
                  <c:v>48502.1</c:v>
                </c:pt>
                <c:pt idx="2">
                  <c:v>53520.4</c:v>
                </c:pt>
                <c:pt idx="3">
                  <c:v>53520.4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Охрана семьи и детства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64818024263431E-2"/>
                  <c:y val="2.37388724035608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662045060658619E-2"/>
                  <c:y val="2.37388724035608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040439052570769E-2"/>
                  <c:y val="1.97823936696340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22108198346956E-2"/>
                  <c:y val="2.37625489692126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43180.4</c:v>
                </c:pt>
                <c:pt idx="1">
                  <c:v>39603.800000000003</c:v>
                </c:pt>
                <c:pt idx="2">
                  <c:v>40299</c:v>
                </c:pt>
                <c:pt idx="3">
                  <c:v>41078.5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вопросы в области социальной политики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6364.1</c:v>
                </c:pt>
                <c:pt idx="1">
                  <c:v>6870.3</c:v>
                </c:pt>
                <c:pt idx="2">
                  <c:v>6870.3</c:v>
                </c:pt>
                <c:pt idx="3">
                  <c:v>6870.3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4127616"/>
        <c:axId val="94129152"/>
      </c:barChart>
      <c:catAx>
        <c:axId val="94127616"/>
        <c:scaling>
          <c:orientation val="minMax"/>
        </c:scaling>
        <c:delete val="0"/>
        <c:axPos val="b"/>
        <c:majorTickMark val="out"/>
        <c:minorTickMark val="none"/>
        <c:tickLblPos val="nextTo"/>
        <c:crossAx val="94129152"/>
        <c:crosses val="autoZero"/>
        <c:auto val="1"/>
        <c:lblAlgn val="ctr"/>
        <c:lblOffset val="100"/>
        <c:noMultiLvlLbl val="0"/>
      </c:catAx>
      <c:valAx>
        <c:axId val="94129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127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87A1-4579-401C-919E-B3982A9F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2239</TotalTime>
  <Pages>23</Pages>
  <Words>7275</Words>
  <Characters>41473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187</cp:revision>
  <cp:lastPrinted>2019-12-16T07:21:00Z</cp:lastPrinted>
  <dcterms:created xsi:type="dcterms:W3CDTF">2019-11-19T10:36:00Z</dcterms:created>
  <dcterms:modified xsi:type="dcterms:W3CDTF">2019-12-17T05:46:00Z</dcterms:modified>
</cp:coreProperties>
</file>